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2B02" w14:textId="4E82FCF9" w:rsidR="005212B8" w:rsidRPr="00744CE8" w:rsidRDefault="001D140D" w:rsidP="001D140D">
      <w:pPr>
        <w:spacing w:line="360" w:lineRule="auto"/>
        <w:jc w:val="center"/>
        <w:rPr>
          <w:rFonts w:cs="Times New Roman"/>
          <w:b/>
          <w:bCs/>
          <w:smallCaps/>
          <w:sz w:val="28"/>
          <w:szCs w:val="28"/>
        </w:rPr>
      </w:pPr>
      <w:r w:rsidRPr="00744CE8">
        <w:rPr>
          <w:rFonts w:cs="Times New Roman"/>
          <w:b/>
          <w:bCs/>
          <w:smallCaps/>
          <w:sz w:val="28"/>
          <w:szCs w:val="28"/>
        </w:rPr>
        <w:t xml:space="preserve">'Informal Evidence' in Committee Inquiries: </w:t>
      </w:r>
      <w:r w:rsidR="004B08FD">
        <w:rPr>
          <w:rFonts w:cs="Times New Roman"/>
          <w:b/>
          <w:bCs/>
          <w:smallCaps/>
          <w:sz w:val="28"/>
          <w:szCs w:val="28"/>
        </w:rPr>
        <w:t>A</w:t>
      </w:r>
      <w:r w:rsidR="00744CE8" w:rsidRPr="00744CE8">
        <w:rPr>
          <w:rFonts w:cs="Times New Roman"/>
          <w:b/>
          <w:bCs/>
          <w:smallCaps/>
          <w:sz w:val="28"/>
          <w:szCs w:val="28"/>
        </w:rPr>
        <w:t xml:space="preserve"> Case for its Wider Utilisation</w:t>
      </w:r>
    </w:p>
    <w:p w14:paraId="27BBD622" w14:textId="2362E075" w:rsidR="00744CE8" w:rsidRDefault="005212B8" w:rsidP="00744CE8">
      <w:pPr>
        <w:spacing w:line="360" w:lineRule="auto"/>
        <w:jc w:val="center"/>
        <w:rPr>
          <w:rFonts w:cs="Times New Roman"/>
          <w:i/>
          <w:iCs/>
          <w:sz w:val="24"/>
          <w:szCs w:val="24"/>
        </w:rPr>
      </w:pPr>
      <w:r w:rsidRPr="00744CE8">
        <w:rPr>
          <w:rFonts w:cs="Times New Roman"/>
          <w:i/>
          <w:iCs/>
          <w:sz w:val="24"/>
          <w:szCs w:val="24"/>
        </w:rPr>
        <w:t>Matthew Johnson</w:t>
      </w:r>
    </w:p>
    <w:p w14:paraId="14B0E4E3" w14:textId="26FA5697" w:rsidR="005212B8" w:rsidRDefault="001048EC" w:rsidP="00744CE8">
      <w:pPr>
        <w:spacing w:line="360" w:lineRule="auto"/>
        <w:jc w:val="center"/>
        <w:rPr>
          <w:rFonts w:cs="Times New Roman"/>
          <w:i/>
          <w:iCs/>
          <w:sz w:val="24"/>
          <w:szCs w:val="24"/>
        </w:rPr>
      </w:pPr>
      <w:r>
        <w:rPr>
          <w:rFonts w:cs="Times New Roman"/>
          <w:i/>
          <w:iCs/>
          <w:sz w:val="24"/>
          <w:szCs w:val="24"/>
        </w:rPr>
        <w:t>A/</w:t>
      </w:r>
      <w:r w:rsidR="005212B8" w:rsidRPr="00744CE8">
        <w:rPr>
          <w:rFonts w:cs="Times New Roman"/>
          <w:i/>
          <w:iCs/>
          <w:sz w:val="24"/>
          <w:szCs w:val="24"/>
        </w:rPr>
        <w:t xml:space="preserve">Committee </w:t>
      </w:r>
      <w:r>
        <w:rPr>
          <w:rFonts w:cs="Times New Roman"/>
          <w:i/>
          <w:iCs/>
          <w:sz w:val="24"/>
          <w:szCs w:val="24"/>
        </w:rPr>
        <w:t>Director</w:t>
      </w:r>
      <w:r w:rsidR="005212B8" w:rsidRPr="00744CE8">
        <w:rPr>
          <w:rFonts w:cs="Times New Roman"/>
          <w:i/>
          <w:iCs/>
          <w:sz w:val="24"/>
          <w:szCs w:val="24"/>
        </w:rPr>
        <w:t>,</w:t>
      </w:r>
      <w:r w:rsidR="00744CE8">
        <w:rPr>
          <w:rFonts w:cs="Times New Roman"/>
          <w:i/>
          <w:iCs/>
          <w:sz w:val="24"/>
          <w:szCs w:val="24"/>
        </w:rPr>
        <w:t xml:space="preserve"> </w:t>
      </w:r>
      <w:r w:rsidR="005212B8" w:rsidRPr="00744CE8">
        <w:rPr>
          <w:rFonts w:cs="Times New Roman"/>
          <w:i/>
          <w:iCs/>
          <w:sz w:val="24"/>
          <w:szCs w:val="24"/>
        </w:rPr>
        <w:t>NSW Legislative Assembly</w:t>
      </w:r>
    </w:p>
    <w:p w14:paraId="4BD547D8" w14:textId="77777777" w:rsidR="00744CE8" w:rsidRPr="00744CE8" w:rsidRDefault="00744CE8" w:rsidP="001D140D">
      <w:pPr>
        <w:spacing w:line="360" w:lineRule="auto"/>
        <w:rPr>
          <w:rFonts w:cs="Times New Roman"/>
          <w:i/>
          <w:iCs/>
          <w:sz w:val="24"/>
          <w:szCs w:val="24"/>
        </w:rPr>
      </w:pPr>
    </w:p>
    <w:p w14:paraId="6149A74A" w14:textId="2DF2558C" w:rsidR="005212B8" w:rsidRPr="001D140D" w:rsidRDefault="001D140D" w:rsidP="001D140D">
      <w:pPr>
        <w:spacing w:line="360" w:lineRule="auto"/>
        <w:jc w:val="center"/>
        <w:rPr>
          <w:rFonts w:cs="Times New Roman"/>
          <w:b/>
          <w:bCs/>
          <w:smallCaps/>
          <w:sz w:val="24"/>
          <w:szCs w:val="24"/>
        </w:rPr>
      </w:pPr>
      <w:r w:rsidRPr="001D140D">
        <w:rPr>
          <w:rFonts w:cs="Times New Roman"/>
          <w:b/>
          <w:bCs/>
          <w:smallCaps/>
          <w:sz w:val="24"/>
          <w:szCs w:val="24"/>
        </w:rPr>
        <w:t>1. INTRODUCTION</w:t>
      </w:r>
    </w:p>
    <w:p w14:paraId="6D7B3923" w14:textId="57976177" w:rsidR="00744CE8" w:rsidRDefault="00744CE8" w:rsidP="001D140D">
      <w:pPr>
        <w:spacing w:line="360" w:lineRule="auto"/>
        <w:rPr>
          <w:rFonts w:cs="Times New Roman"/>
          <w:sz w:val="24"/>
          <w:szCs w:val="24"/>
        </w:rPr>
      </w:pPr>
      <w:r>
        <w:rPr>
          <w:rFonts w:cs="Times New Roman"/>
          <w:sz w:val="24"/>
          <w:szCs w:val="24"/>
        </w:rPr>
        <w:t>P</w:t>
      </w:r>
      <w:r w:rsidR="005212B8" w:rsidRPr="001D140D">
        <w:rPr>
          <w:rFonts w:cs="Times New Roman"/>
          <w:sz w:val="24"/>
          <w:szCs w:val="24"/>
        </w:rPr>
        <w:t>arliamentary committee</w:t>
      </w:r>
      <w:r>
        <w:rPr>
          <w:rFonts w:cs="Times New Roman"/>
          <w:sz w:val="24"/>
          <w:szCs w:val="24"/>
        </w:rPr>
        <w:t xml:space="preserve"> inquiries</w:t>
      </w:r>
      <w:r w:rsidR="005212B8" w:rsidRPr="001D140D">
        <w:rPr>
          <w:rFonts w:cs="Times New Roman"/>
          <w:sz w:val="24"/>
          <w:szCs w:val="24"/>
        </w:rPr>
        <w:t xml:space="preserve"> rely on formal evidence</w:t>
      </w:r>
      <w:r w:rsidR="00593028">
        <w:rPr>
          <w:rFonts w:cs="Times New Roman"/>
          <w:sz w:val="24"/>
          <w:szCs w:val="24"/>
        </w:rPr>
        <w:t>.</w:t>
      </w:r>
      <w:r>
        <w:rPr>
          <w:rFonts w:cs="Times New Roman"/>
          <w:sz w:val="24"/>
          <w:szCs w:val="24"/>
        </w:rPr>
        <w:t xml:space="preserve"> </w:t>
      </w:r>
      <w:r w:rsidR="00593028">
        <w:rPr>
          <w:rFonts w:cs="Times New Roman"/>
          <w:sz w:val="24"/>
          <w:szCs w:val="24"/>
        </w:rPr>
        <w:t>G</w:t>
      </w:r>
      <w:r w:rsidR="005212B8" w:rsidRPr="001D140D">
        <w:rPr>
          <w:rFonts w:cs="Times New Roman"/>
          <w:sz w:val="24"/>
          <w:szCs w:val="24"/>
        </w:rPr>
        <w:t>athered</w:t>
      </w:r>
      <w:r>
        <w:rPr>
          <w:rFonts w:cs="Times New Roman"/>
          <w:sz w:val="24"/>
          <w:szCs w:val="24"/>
        </w:rPr>
        <w:t xml:space="preserve"> using the formal powers of committees, its formality is derived from established convention, </w:t>
      </w:r>
      <w:r w:rsidR="005212B8" w:rsidRPr="001D140D">
        <w:rPr>
          <w:rFonts w:cs="Times New Roman"/>
          <w:sz w:val="24"/>
          <w:szCs w:val="24"/>
        </w:rPr>
        <w:t>statu</w:t>
      </w:r>
      <w:r>
        <w:rPr>
          <w:rFonts w:cs="Times New Roman"/>
          <w:sz w:val="24"/>
          <w:szCs w:val="24"/>
        </w:rPr>
        <w:t>t</w:t>
      </w:r>
      <w:r w:rsidR="005212B8" w:rsidRPr="001D140D">
        <w:rPr>
          <w:rFonts w:cs="Times New Roman"/>
          <w:sz w:val="24"/>
          <w:szCs w:val="24"/>
        </w:rPr>
        <w:t>e</w:t>
      </w:r>
      <w:r>
        <w:rPr>
          <w:rFonts w:cs="Times New Roman"/>
          <w:sz w:val="24"/>
          <w:szCs w:val="24"/>
        </w:rPr>
        <w:t xml:space="preserve"> </w:t>
      </w:r>
      <w:r w:rsidR="005212B8" w:rsidRPr="001D140D">
        <w:rPr>
          <w:rFonts w:cs="Times New Roman"/>
          <w:sz w:val="24"/>
          <w:szCs w:val="24"/>
        </w:rPr>
        <w:t>and</w:t>
      </w:r>
      <w:r>
        <w:rPr>
          <w:rFonts w:cs="Times New Roman"/>
          <w:sz w:val="24"/>
          <w:szCs w:val="24"/>
        </w:rPr>
        <w:t xml:space="preserve">/or the </w:t>
      </w:r>
      <w:r w:rsidR="005212B8" w:rsidRPr="001D140D">
        <w:rPr>
          <w:rFonts w:cs="Times New Roman"/>
          <w:sz w:val="24"/>
          <w:szCs w:val="24"/>
        </w:rPr>
        <w:t>standing orders of the House</w:t>
      </w:r>
      <w:r>
        <w:rPr>
          <w:rFonts w:cs="Times New Roman"/>
          <w:sz w:val="24"/>
          <w:szCs w:val="24"/>
        </w:rPr>
        <w:t>, and most commonly takes the form of</w:t>
      </w:r>
      <w:r w:rsidRPr="001D140D">
        <w:rPr>
          <w:rFonts w:cs="Times New Roman"/>
          <w:sz w:val="24"/>
          <w:szCs w:val="24"/>
        </w:rPr>
        <w:t xml:space="preserve"> sworn </w:t>
      </w:r>
      <w:r>
        <w:rPr>
          <w:rFonts w:cs="Times New Roman"/>
          <w:sz w:val="24"/>
          <w:szCs w:val="24"/>
        </w:rPr>
        <w:t>verbal</w:t>
      </w:r>
      <w:r w:rsidRPr="001D140D">
        <w:rPr>
          <w:rFonts w:cs="Times New Roman"/>
          <w:sz w:val="24"/>
          <w:szCs w:val="24"/>
        </w:rPr>
        <w:t xml:space="preserve"> testimony and </w:t>
      </w:r>
      <w:r>
        <w:rPr>
          <w:rFonts w:cs="Times New Roman"/>
          <w:sz w:val="24"/>
          <w:szCs w:val="24"/>
        </w:rPr>
        <w:t>written</w:t>
      </w:r>
      <w:r w:rsidRPr="001D140D">
        <w:rPr>
          <w:rFonts w:cs="Times New Roman"/>
          <w:sz w:val="24"/>
          <w:szCs w:val="24"/>
        </w:rPr>
        <w:t xml:space="preserve"> submission</w:t>
      </w:r>
      <w:r w:rsidR="005212B8" w:rsidRPr="001D140D">
        <w:rPr>
          <w:rFonts w:cs="Times New Roman"/>
          <w:sz w:val="24"/>
          <w:szCs w:val="24"/>
        </w:rPr>
        <w:t xml:space="preserve">. However, </w:t>
      </w:r>
      <w:r>
        <w:rPr>
          <w:rFonts w:cs="Times New Roman"/>
          <w:sz w:val="24"/>
          <w:szCs w:val="24"/>
        </w:rPr>
        <w:t>committee inquiries are</w:t>
      </w:r>
      <w:r w:rsidR="005212B8" w:rsidRPr="001D140D">
        <w:rPr>
          <w:rFonts w:cs="Times New Roman"/>
          <w:sz w:val="24"/>
          <w:szCs w:val="24"/>
        </w:rPr>
        <w:t xml:space="preserve"> often </w:t>
      </w:r>
      <w:r>
        <w:rPr>
          <w:rFonts w:cs="Times New Roman"/>
          <w:sz w:val="24"/>
          <w:szCs w:val="24"/>
        </w:rPr>
        <w:t>supported</w:t>
      </w:r>
      <w:r w:rsidR="005212B8" w:rsidRPr="001D140D">
        <w:rPr>
          <w:rFonts w:cs="Times New Roman"/>
          <w:sz w:val="24"/>
          <w:szCs w:val="24"/>
        </w:rPr>
        <w:t xml:space="preserve"> or augmented by what could be termed "informal evidence": fact-finding and stakeholder engagement exercises </w:t>
      </w:r>
      <w:r>
        <w:rPr>
          <w:rFonts w:cs="Times New Roman"/>
          <w:sz w:val="24"/>
          <w:szCs w:val="24"/>
        </w:rPr>
        <w:t>like</w:t>
      </w:r>
      <w:r w:rsidR="005212B8" w:rsidRPr="001D140D">
        <w:rPr>
          <w:rFonts w:cs="Times New Roman"/>
          <w:sz w:val="24"/>
          <w:szCs w:val="24"/>
        </w:rPr>
        <w:t xml:space="preserve"> private briefings, roundtables and site visits. Committees and committee staff can be left with the challenge of finding a way to use </w:t>
      </w:r>
      <w:r>
        <w:rPr>
          <w:rFonts w:cs="Times New Roman"/>
          <w:sz w:val="24"/>
          <w:szCs w:val="24"/>
        </w:rPr>
        <w:t>valuable yet "</w:t>
      </w:r>
      <w:r w:rsidR="005212B8" w:rsidRPr="001D140D">
        <w:rPr>
          <w:rFonts w:cs="Times New Roman"/>
          <w:sz w:val="24"/>
          <w:szCs w:val="24"/>
        </w:rPr>
        <w:t>informal</w:t>
      </w:r>
      <w:r>
        <w:rPr>
          <w:rFonts w:cs="Times New Roman"/>
          <w:sz w:val="24"/>
          <w:szCs w:val="24"/>
        </w:rPr>
        <w:t>"</w:t>
      </w:r>
      <w:r w:rsidR="005212B8" w:rsidRPr="001D140D">
        <w:rPr>
          <w:rFonts w:cs="Times New Roman"/>
          <w:sz w:val="24"/>
          <w:szCs w:val="24"/>
        </w:rPr>
        <w:t xml:space="preserve"> evidence </w:t>
      </w:r>
      <w:r>
        <w:rPr>
          <w:rFonts w:cs="Times New Roman"/>
          <w:sz w:val="24"/>
          <w:szCs w:val="24"/>
        </w:rPr>
        <w:t xml:space="preserve">in a form that can </w:t>
      </w:r>
      <w:r w:rsidR="005212B8" w:rsidRPr="001D140D">
        <w:rPr>
          <w:rFonts w:cs="Times New Roman"/>
          <w:sz w:val="24"/>
          <w:szCs w:val="24"/>
        </w:rPr>
        <w:t xml:space="preserve">support the </w:t>
      </w:r>
      <w:r>
        <w:rPr>
          <w:rFonts w:cs="Times New Roman"/>
          <w:sz w:val="24"/>
          <w:szCs w:val="24"/>
        </w:rPr>
        <w:t>findings</w:t>
      </w:r>
      <w:r w:rsidR="005212B8" w:rsidRPr="001D140D">
        <w:rPr>
          <w:rFonts w:cs="Times New Roman"/>
          <w:sz w:val="24"/>
          <w:szCs w:val="24"/>
        </w:rPr>
        <w:t xml:space="preserve"> and recommendations </w:t>
      </w:r>
      <w:r>
        <w:rPr>
          <w:rFonts w:cs="Times New Roman"/>
          <w:sz w:val="24"/>
          <w:szCs w:val="24"/>
        </w:rPr>
        <w:t>of committee</w:t>
      </w:r>
      <w:r w:rsidR="005212B8" w:rsidRPr="001D140D">
        <w:rPr>
          <w:rFonts w:cs="Times New Roman"/>
          <w:sz w:val="24"/>
          <w:szCs w:val="24"/>
        </w:rPr>
        <w:t xml:space="preserve"> report</w:t>
      </w:r>
      <w:r>
        <w:rPr>
          <w:rFonts w:cs="Times New Roman"/>
          <w:sz w:val="24"/>
          <w:szCs w:val="24"/>
        </w:rPr>
        <w:t>s</w:t>
      </w:r>
      <w:r w:rsidR="005212B8" w:rsidRPr="001D140D">
        <w:rPr>
          <w:rFonts w:cs="Times New Roman"/>
          <w:sz w:val="24"/>
          <w:szCs w:val="24"/>
        </w:rPr>
        <w:t>.</w:t>
      </w:r>
      <w:r>
        <w:rPr>
          <w:rFonts w:cs="Times New Roman"/>
          <w:sz w:val="24"/>
          <w:szCs w:val="24"/>
        </w:rPr>
        <w:t xml:space="preserve"> </w:t>
      </w:r>
    </w:p>
    <w:p w14:paraId="79D2E3F7" w14:textId="3FFA8A47" w:rsidR="005212B8" w:rsidRPr="001D140D" w:rsidRDefault="005212B8" w:rsidP="001D140D">
      <w:pPr>
        <w:spacing w:line="360" w:lineRule="auto"/>
        <w:rPr>
          <w:rFonts w:cs="Times New Roman"/>
          <w:sz w:val="24"/>
          <w:szCs w:val="24"/>
        </w:rPr>
      </w:pPr>
      <w:r w:rsidRPr="001D140D">
        <w:rPr>
          <w:rFonts w:cs="Times New Roman"/>
          <w:sz w:val="24"/>
          <w:szCs w:val="24"/>
        </w:rPr>
        <w:t>In this paper, I explore the distinctions between formal and informal evidence</w:t>
      </w:r>
      <w:r w:rsidR="00744CE8">
        <w:rPr>
          <w:rFonts w:cs="Times New Roman"/>
          <w:sz w:val="24"/>
          <w:szCs w:val="24"/>
        </w:rPr>
        <w:t>,</w:t>
      </w:r>
      <w:r w:rsidRPr="001D140D">
        <w:rPr>
          <w:rFonts w:cs="Times New Roman"/>
          <w:sz w:val="24"/>
          <w:szCs w:val="24"/>
        </w:rPr>
        <w:t xml:space="preserve"> </w:t>
      </w:r>
      <w:r w:rsidR="00744CE8">
        <w:rPr>
          <w:rFonts w:cs="Times New Roman"/>
          <w:sz w:val="24"/>
          <w:szCs w:val="24"/>
        </w:rPr>
        <w:t xml:space="preserve">and </w:t>
      </w:r>
      <w:r w:rsidRPr="001D140D">
        <w:rPr>
          <w:rFonts w:cs="Times New Roman"/>
          <w:sz w:val="24"/>
          <w:szCs w:val="24"/>
        </w:rPr>
        <w:t xml:space="preserve">argue that greater utilisation of informal evidence may increase public participation in committee inquiries, particularly for under-represented stakeholder groups. The paper begins by outlining criteria through which formal and informal evidence </w:t>
      </w:r>
      <w:r w:rsidR="00CB2504" w:rsidRPr="001D140D">
        <w:rPr>
          <w:rFonts w:cs="Times New Roman"/>
          <w:sz w:val="24"/>
          <w:szCs w:val="24"/>
        </w:rPr>
        <w:t xml:space="preserve">could be demarcated, before </w:t>
      </w:r>
      <w:r w:rsidR="00744CE8">
        <w:rPr>
          <w:rFonts w:cs="Times New Roman"/>
          <w:sz w:val="24"/>
          <w:szCs w:val="24"/>
        </w:rPr>
        <w:t>exploring the benefits to using informal evidence and outlining some strategies for its wider use in committee inquiries.</w:t>
      </w:r>
    </w:p>
    <w:p w14:paraId="0E884D64" w14:textId="40632C90" w:rsidR="00692D05" w:rsidRPr="001D140D" w:rsidRDefault="00692D05" w:rsidP="001D140D">
      <w:pPr>
        <w:spacing w:line="360" w:lineRule="auto"/>
        <w:rPr>
          <w:rFonts w:cs="Times New Roman"/>
          <w:b/>
          <w:bCs/>
          <w:sz w:val="24"/>
          <w:szCs w:val="24"/>
        </w:rPr>
      </w:pPr>
    </w:p>
    <w:p w14:paraId="37B1643C" w14:textId="31043BD8" w:rsidR="00692D05" w:rsidRPr="001D140D" w:rsidRDefault="001D140D" w:rsidP="001D140D">
      <w:pPr>
        <w:spacing w:line="360" w:lineRule="auto"/>
        <w:jc w:val="center"/>
        <w:rPr>
          <w:rFonts w:cs="Times New Roman"/>
          <w:b/>
          <w:bCs/>
          <w:smallCaps/>
          <w:sz w:val="24"/>
          <w:szCs w:val="24"/>
        </w:rPr>
      </w:pPr>
      <w:r w:rsidRPr="001D140D">
        <w:rPr>
          <w:rFonts w:cs="Times New Roman"/>
          <w:b/>
          <w:bCs/>
          <w:smallCaps/>
          <w:sz w:val="24"/>
          <w:szCs w:val="24"/>
        </w:rPr>
        <w:t>2. DEFINING FORMAL AND INFORMAL EVIDENCE</w:t>
      </w:r>
    </w:p>
    <w:p w14:paraId="43BA7FA5" w14:textId="1DE4EE93" w:rsidR="000E577A" w:rsidRDefault="000E577A" w:rsidP="001D140D">
      <w:pPr>
        <w:spacing w:line="360" w:lineRule="auto"/>
        <w:rPr>
          <w:rFonts w:cs="Times New Roman"/>
          <w:sz w:val="24"/>
          <w:szCs w:val="24"/>
        </w:rPr>
      </w:pPr>
      <w:r w:rsidRPr="001D140D">
        <w:rPr>
          <w:rFonts w:cs="Times New Roman"/>
          <w:sz w:val="24"/>
          <w:szCs w:val="24"/>
        </w:rPr>
        <w:t>The power to call for evidence is central to the functioning of most parliamentary committees. In the separation of powers between the legislature and executive, the evidence-gathering powers of committees play an important role in the scrutiny of government action and the refinement of legislation and policy.</w:t>
      </w:r>
      <w:r w:rsidR="00744CE8">
        <w:rPr>
          <w:rFonts w:cs="Times New Roman"/>
          <w:sz w:val="24"/>
          <w:szCs w:val="24"/>
        </w:rPr>
        <w:t xml:space="preserve"> T</w:t>
      </w:r>
      <w:r w:rsidRPr="001D140D">
        <w:rPr>
          <w:rFonts w:cs="Times New Roman"/>
          <w:sz w:val="24"/>
          <w:szCs w:val="24"/>
        </w:rPr>
        <w:t>he practice of evidence gathering serves as an important interface between legislatures and polities, offering a forum for debate and discussion in which individuals, interest groups and experts are able to directly engage with their elected political representatives (and vice versa). Claims of knowledge and truth are presented to committees in the form of</w:t>
      </w:r>
      <w:r w:rsidR="00A82C31" w:rsidRPr="001D140D">
        <w:rPr>
          <w:rFonts w:cs="Times New Roman"/>
          <w:sz w:val="24"/>
          <w:szCs w:val="24"/>
        </w:rPr>
        <w:t xml:space="preserve"> </w:t>
      </w:r>
      <w:r w:rsidRPr="001D140D">
        <w:rPr>
          <w:rFonts w:cs="Times New Roman"/>
          <w:sz w:val="24"/>
          <w:szCs w:val="24"/>
        </w:rPr>
        <w:t>evidence</w:t>
      </w:r>
      <w:r w:rsidR="00A82C31" w:rsidRPr="001D140D">
        <w:rPr>
          <w:rFonts w:cs="Times New Roman"/>
          <w:sz w:val="24"/>
          <w:szCs w:val="24"/>
        </w:rPr>
        <w:t>, and how committees use this evidence can impact the lives and livelihoods of citizens, communities and the wider electorate.</w:t>
      </w:r>
      <w:r w:rsidR="001D140D">
        <w:rPr>
          <w:rFonts w:cs="Times New Roman"/>
          <w:sz w:val="24"/>
          <w:szCs w:val="24"/>
        </w:rPr>
        <w:t xml:space="preserve"> </w:t>
      </w:r>
      <w:r w:rsidR="001D140D" w:rsidRPr="001D140D">
        <w:rPr>
          <w:rFonts w:cs="Times New Roman"/>
          <w:sz w:val="24"/>
          <w:szCs w:val="24"/>
        </w:rPr>
        <w:t xml:space="preserve">For </w:t>
      </w:r>
      <w:r w:rsidR="00744CE8">
        <w:rPr>
          <w:rFonts w:cs="Times New Roman"/>
          <w:sz w:val="24"/>
          <w:szCs w:val="24"/>
        </w:rPr>
        <w:t>this</w:t>
      </w:r>
      <w:r w:rsidR="001D140D" w:rsidRPr="001D140D">
        <w:rPr>
          <w:rFonts w:cs="Times New Roman"/>
          <w:sz w:val="24"/>
          <w:szCs w:val="24"/>
        </w:rPr>
        <w:t xml:space="preserve"> reason, </w:t>
      </w:r>
      <w:r w:rsidR="00744CE8">
        <w:rPr>
          <w:rFonts w:cs="Times New Roman"/>
          <w:sz w:val="24"/>
          <w:szCs w:val="24"/>
        </w:rPr>
        <w:t xml:space="preserve">the </w:t>
      </w:r>
      <w:r w:rsidR="003C4BBF">
        <w:rPr>
          <w:rFonts w:cs="Times New Roman"/>
          <w:sz w:val="24"/>
          <w:szCs w:val="24"/>
        </w:rPr>
        <w:t>institutional</w:t>
      </w:r>
      <w:r w:rsidR="00744CE8">
        <w:rPr>
          <w:rFonts w:cs="Times New Roman"/>
          <w:sz w:val="24"/>
          <w:szCs w:val="24"/>
        </w:rPr>
        <w:t xml:space="preserve">, </w:t>
      </w:r>
      <w:r w:rsidR="00744CE8">
        <w:rPr>
          <w:rFonts w:cs="Times New Roman"/>
          <w:sz w:val="24"/>
          <w:szCs w:val="24"/>
        </w:rPr>
        <w:lastRenderedPageBreak/>
        <w:t xml:space="preserve">functional and epistemological characteristics of </w:t>
      </w:r>
      <w:r w:rsidR="001D140D" w:rsidRPr="001D140D">
        <w:rPr>
          <w:rFonts w:cs="Times New Roman"/>
          <w:sz w:val="24"/>
          <w:szCs w:val="24"/>
        </w:rPr>
        <w:t xml:space="preserve">evidence </w:t>
      </w:r>
      <w:r w:rsidR="00744CE8">
        <w:rPr>
          <w:rFonts w:cs="Times New Roman"/>
          <w:sz w:val="24"/>
          <w:szCs w:val="24"/>
        </w:rPr>
        <w:t xml:space="preserve">used </w:t>
      </w:r>
      <w:r w:rsidR="001D140D" w:rsidRPr="001D140D">
        <w:rPr>
          <w:rFonts w:cs="Times New Roman"/>
          <w:sz w:val="24"/>
          <w:szCs w:val="24"/>
        </w:rPr>
        <w:t>by committees</w:t>
      </w:r>
      <w:r w:rsidR="00744CE8">
        <w:rPr>
          <w:rFonts w:cs="Times New Roman"/>
          <w:sz w:val="24"/>
          <w:szCs w:val="24"/>
        </w:rPr>
        <w:t xml:space="preserve"> should be interrogated, rather than taken as given</w:t>
      </w:r>
      <w:r w:rsidR="001D140D">
        <w:rPr>
          <w:rFonts w:cs="Times New Roman"/>
          <w:sz w:val="24"/>
          <w:szCs w:val="24"/>
        </w:rPr>
        <w:t>.</w:t>
      </w:r>
    </w:p>
    <w:p w14:paraId="3D59658B" w14:textId="7EB37EA0" w:rsidR="00744CE8" w:rsidRDefault="00744CE8" w:rsidP="001D140D">
      <w:pPr>
        <w:spacing w:line="360" w:lineRule="auto"/>
        <w:rPr>
          <w:rFonts w:cs="Times New Roman"/>
          <w:sz w:val="24"/>
          <w:szCs w:val="24"/>
        </w:rPr>
      </w:pPr>
      <w:r>
        <w:rPr>
          <w:rFonts w:cs="Times New Roman"/>
          <w:sz w:val="24"/>
          <w:szCs w:val="24"/>
        </w:rPr>
        <w:t>Research</w:t>
      </w:r>
      <w:r w:rsidR="00A82C31" w:rsidRPr="001D140D">
        <w:rPr>
          <w:rFonts w:cs="Times New Roman"/>
          <w:sz w:val="24"/>
          <w:szCs w:val="24"/>
        </w:rPr>
        <w:t xml:space="preserve"> has tended more towards analys</w:t>
      </w:r>
      <w:r>
        <w:rPr>
          <w:rFonts w:cs="Times New Roman"/>
          <w:sz w:val="24"/>
          <w:szCs w:val="24"/>
        </w:rPr>
        <w:t>e</w:t>
      </w:r>
      <w:r w:rsidR="00A82C31" w:rsidRPr="001D140D">
        <w:rPr>
          <w:rFonts w:cs="Times New Roman"/>
          <w:sz w:val="24"/>
          <w:szCs w:val="24"/>
        </w:rPr>
        <w:t>s o</w:t>
      </w:r>
      <w:r w:rsidR="001D140D" w:rsidRPr="001D140D">
        <w:rPr>
          <w:rFonts w:cs="Times New Roman"/>
          <w:sz w:val="24"/>
          <w:szCs w:val="24"/>
        </w:rPr>
        <w:t>f</w:t>
      </w:r>
      <w:r w:rsidR="00A82C31" w:rsidRPr="001D140D">
        <w:rPr>
          <w:rFonts w:cs="Times New Roman"/>
          <w:sz w:val="24"/>
          <w:szCs w:val="24"/>
        </w:rPr>
        <w:t xml:space="preserve"> who gives evidence to parliamentary committees</w:t>
      </w:r>
      <w:r w:rsidR="006F6A0F" w:rsidRPr="001D140D">
        <w:rPr>
          <w:rFonts w:cs="Times New Roman"/>
          <w:sz w:val="24"/>
          <w:szCs w:val="24"/>
        </w:rPr>
        <w:t>, the type of committee they give evidence to</w:t>
      </w:r>
      <w:r w:rsidR="00593028">
        <w:rPr>
          <w:rFonts w:cs="Times New Roman"/>
          <w:sz w:val="24"/>
          <w:szCs w:val="24"/>
        </w:rPr>
        <w:t>,</w:t>
      </w:r>
      <w:r w:rsidR="00A82C31" w:rsidRPr="001D140D">
        <w:rPr>
          <w:rFonts w:cs="Times New Roman"/>
          <w:sz w:val="24"/>
          <w:szCs w:val="24"/>
        </w:rPr>
        <w:t xml:space="preserve"> and the medium in which evidence is given,</w:t>
      </w:r>
      <w:r w:rsidR="006F6A0F" w:rsidRPr="001D140D">
        <w:rPr>
          <w:rStyle w:val="FootnoteReference"/>
          <w:rFonts w:cs="Times New Roman"/>
          <w:sz w:val="24"/>
          <w:szCs w:val="24"/>
        </w:rPr>
        <w:footnoteReference w:id="1"/>
      </w:r>
      <w:r w:rsidR="00A82C31" w:rsidRPr="001D140D">
        <w:rPr>
          <w:rFonts w:cs="Times New Roman"/>
          <w:sz w:val="24"/>
          <w:szCs w:val="24"/>
        </w:rPr>
        <w:t xml:space="preserve"> rather than </w:t>
      </w:r>
      <w:r>
        <w:rPr>
          <w:rFonts w:cs="Times New Roman"/>
          <w:sz w:val="24"/>
          <w:szCs w:val="24"/>
        </w:rPr>
        <w:t>exploring the</w:t>
      </w:r>
      <w:r w:rsidR="00A82C31" w:rsidRPr="001D140D">
        <w:rPr>
          <w:rFonts w:cs="Times New Roman"/>
          <w:sz w:val="24"/>
          <w:szCs w:val="24"/>
        </w:rPr>
        <w:t xml:space="preserve"> </w:t>
      </w:r>
      <w:r w:rsidR="001D140D" w:rsidRPr="001D140D">
        <w:rPr>
          <w:rFonts w:cs="Times New Roman"/>
          <w:sz w:val="24"/>
          <w:szCs w:val="24"/>
        </w:rPr>
        <w:t xml:space="preserve">role that </w:t>
      </w:r>
      <w:r>
        <w:rPr>
          <w:rFonts w:cs="Times New Roman"/>
          <w:sz w:val="24"/>
          <w:szCs w:val="24"/>
        </w:rPr>
        <w:t xml:space="preserve">informal evidence </w:t>
      </w:r>
      <w:r w:rsidR="001D140D" w:rsidRPr="001D140D">
        <w:rPr>
          <w:rFonts w:cs="Times New Roman"/>
          <w:sz w:val="24"/>
          <w:szCs w:val="24"/>
        </w:rPr>
        <w:t>can play in contributing to committee inquiries</w:t>
      </w:r>
      <w:r w:rsidR="00A82C31" w:rsidRPr="001D140D">
        <w:rPr>
          <w:rFonts w:cs="Times New Roman"/>
          <w:sz w:val="24"/>
          <w:szCs w:val="24"/>
        </w:rPr>
        <w:t xml:space="preserve">. Nonetheless, several authors note a distinction between evidence that is </w:t>
      </w:r>
      <w:r>
        <w:rPr>
          <w:rFonts w:cs="Times New Roman"/>
          <w:sz w:val="24"/>
          <w:szCs w:val="24"/>
        </w:rPr>
        <w:t xml:space="preserve">formally </w:t>
      </w:r>
      <w:r w:rsidR="00A82C31" w:rsidRPr="001D140D">
        <w:rPr>
          <w:rFonts w:cs="Times New Roman"/>
          <w:sz w:val="24"/>
          <w:szCs w:val="24"/>
        </w:rPr>
        <w:t>submitted or given before a committee (written and oral evidence)</w:t>
      </w:r>
      <w:r>
        <w:rPr>
          <w:rFonts w:cs="Times New Roman"/>
          <w:sz w:val="24"/>
          <w:szCs w:val="24"/>
        </w:rPr>
        <w:t>,</w:t>
      </w:r>
      <w:r w:rsidR="00A82C31" w:rsidRPr="001D140D">
        <w:rPr>
          <w:rFonts w:cs="Times New Roman"/>
          <w:sz w:val="24"/>
          <w:szCs w:val="24"/>
        </w:rPr>
        <w:t xml:space="preserve"> and evidence that is gathered through </w:t>
      </w:r>
      <w:r>
        <w:rPr>
          <w:rFonts w:cs="Times New Roman"/>
          <w:sz w:val="24"/>
          <w:szCs w:val="24"/>
        </w:rPr>
        <w:t xml:space="preserve">less institutionalised </w:t>
      </w:r>
      <w:r w:rsidR="00A82C31" w:rsidRPr="001D140D">
        <w:rPr>
          <w:rFonts w:cs="Times New Roman"/>
          <w:sz w:val="24"/>
          <w:szCs w:val="24"/>
        </w:rPr>
        <w:t>fact-finding and engagement activities.</w:t>
      </w:r>
      <w:r w:rsidR="00A82C31" w:rsidRPr="001D140D">
        <w:rPr>
          <w:rStyle w:val="FootnoteReference"/>
          <w:rFonts w:cs="Times New Roman"/>
          <w:sz w:val="24"/>
          <w:szCs w:val="24"/>
        </w:rPr>
        <w:footnoteReference w:id="2"/>
      </w:r>
    </w:p>
    <w:p w14:paraId="79B27DC7" w14:textId="0BC54CF6" w:rsidR="00A82C31" w:rsidRPr="001D140D" w:rsidRDefault="00A82C31" w:rsidP="001D140D">
      <w:pPr>
        <w:spacing w:line="360" w:lineRule="auto"/>
        <w:rPr>
          <w:rFonts w:cs="Times New Roman"/>
          <w:sz w:val="24"/>
          <w:szCs w:val="24"/>
        </w:rPr>
      </w:pPr>
      <w:r w:rsidRPr="001D140D">
        <w:rPr>
          <w:rFonts w:cs="Times New Roman"/>
          <w:sz w:val="24"/>
          <w:szCs w:val="24"/>
        </w:rPr>
        <w:t xml:space="preserve">This latter 'informal' category has conventionally included site visits and roundtables, though the literature notes </w:t>
      </w:r>
      <w:r w:rsidR="00593028">
        <w:rPr>
          <w:rFonts w:cs="Times New Roman"/>
          <w:sz w:val="24"/>
          <w:szCs w:val="24"/>
        </w:rPr>
        <w:t>recent</w:t>
      </w:r>
      <w:r w:rsidRPr="001D140D">
        <w:rPr>
          <w:rFonts w:cs="Times New Roman"/>
          <w:sz w:val="24"/>
          <w:szCs w:val="24"/>
        </w:rPr>
        <w:t xml:space="preserve"> interest in </w:t>
      </w:r>
      <w:r w:rsidR="00593028">
        <w:rPr>
          <w:rFonts w:cs="Times New Roman"/>
          <w:sz w:val="24"/>
          <w:szCs w:val="24"/>
        </w:rPr>
        <w:t>gathering evidence through</w:t>
      </w:r>
      <w:r w:rsidRPr="001D140D">
        <w:rPr>
          <w:rFonts w:cs="Times New Roman"/>
          <w:sz w:val="24"/>
          <w:szCs w:val="24"/>
        </w:rPr>
        <w:t xml:space="preserve"> 'social media, surveys and focus groups'.</w:t>
      </w:r>
      <w:r w:rsidRPr="001D140D">
        <w:rPr>
          <w:rStyle w:val="FootnoteReference"/>
          <w:rFonts w:cs="Times New Roman"/>
          <w:sz w:val="24"/>
          <w:szCs w:val="24"/>
        </w:rPr>
        <w:footnoteReference w:id="3"/>
      </w:r>
      <w:r w:rsidRPr="001D140D">
        <w:rPr>
          <w:rFonts w:cs="Times New Roman"/>
          <w:sz w:val="24"/>
          <w:szCs w:val="24"/>
        </w:rPr>
        <w:t xml:space="preserve"> </w:t>
      </w:r>
      <w:proofErr w:type="spellStart"/>
      <w:r w:rsidRPr="001D140D">
        <w:rPr>
          <w:rFonts w:cs="Times New Roman"/>
          <w:sz w:val="24"/>
          <w:szCs w:val="24"/>
        </w:rPr>
        <w:t>Bochel</w:t>
      </w:r>
      <w:proofErr w:type="spellEnd"/>
      <w:r w:rsidRPr="001D140D">
        <w:rPr>
          <w:rFonts w:cs="Times New Roman"/>
          <w:sz w:val="24"/>
          <w:szCs w:val="24"/>
        </w:rPr>
        <w:t xml:space="preserve"> and Berthier consider informal evidence within a broader category of 'informal dialogic systems' which also includes 'input through constituents, organised interests and others'.</w:t>
      </w:r>
      <w:r w:rsidRPr="001D140D">
        <w:rPr>
          <w:rStyle w:val="FootnoteReference"/>
          <w:rFonts w:cs="Times New Roman"/>
          <w:sz w:val="24"/>
          <w:szCs w:val="24"/>
        </w:rPr>
        <w:footnoteReference w:id="4"/>
      </w:r>
      <w:r w:rsidRPr="001D140D">
        <w:rPr>
          <w:rFonts w:cs="Times New Roman"/>
          <w:sz w:val="24"/>
          <w:szCs w:val="24"/>
        </w:rPr>
        <w:t xml:space="preserve"> However, </w:t>
      </w:r>
      <w:r w:rsidR="00744CE8">
        <w:rPr>
          <w:rFonts w:cs="Times New Roman"/>
          <w:sz w:val="24"/>
          <w:szCs w:val="24"/>
        </w:rPr>
        <w:t>my</w:t>
      </w:r>
      <w:r w:rsidRPr="001D140D">
        <w:rPr>
          <w:rFonts w:cs="Times New Roman"/>
          <w:sz w:val="24"/>
          <w:szCs w:val="24"/>
        </w:rPr>
        <w:t xml:space="preserve"> analysis here is limited to those activities that are more likely to involve a committee</w:t>
      </w:r>
      <w:r w:rsidR="001D140D" w:rsidRPr="001D140D">
        <w:rPr>
          <w:rFonts w:cs="Times New Roman"/>
          <w:sz w:val="24"/>
          <w:szCs w:val="24"/>
        </w:rPr>
        <w:t>,</w:t>
      </w:r>
      <w:r w:rsidRPr="001D140D">
        <w:rPr>
          <w:rFonts w:cs="Times New Roman"/>
          <w:sz w:val="24"/>
          <w:szCs w:val="24"/>
        </w:rPr>
        <w:t xml:space="preserve"> as a collective body, rather than </w:t>
      </w:r>
      <w:r w:rsidR="001D140D" w:rsidRPr="001D140D">
        <w:rPr>
          <w:rFonts w:cs="Times New Roman"/>
          <w:sz w:val="24"/>
          <w:szCs w:val="24"/>
        </w:rPr>
        <w:t>private interactions between individual members and external stakeholders</w:t>
      </w:r>
      <w:r w:rsidRPr="001D140D">
        <w:rPr>
          <w:rFonts w:cs="Times New Roman"/>
          <w:sz w:val="24"/>
          <w:szCs w:val="24"/>
        </w:rPr>
        <w:t>.</w:t>
      </w:r>
    </w:p>
    <w:p w14:paraId="64D7F2B2" w14:textId="361CD8E5" w:rsidR="001D140D" w:rsidRPr="001D140D" w:rsidRDefault="00A82C31" w:rsidP="001D140D">
      <w:pPr>
        <w:spacing w:line="360" w:lineRule="auto"/>
        <w:rPr>
          <w:rFonts w:cs="Times New Roman"/>
          <w:sz w:val="24"/>
          <w:szCs w:val="24"/>
        </w:rPr>
      </w:pPr>
      <w:r w:rsidRPr="00744CE8">
        <w:rPr>
          <w:rFonts w:cs="Times New Roman"/>
          <w:sz w:val="24"/>
          <w:szCs w:val="24"/>
        </w:rPr>
        <w:t>How might we define informal evidence, as far as parliamentary committees are concerned</w:t>
      </w:r>
      <w:r w:rsidR="001D140D" w:rsidRPr="00744CE8">
        <w:rPr>
          <w:rFonts w:cs="Times New Roman"/>
          <w:sz w:val="24"/>
          <w:szCs w:val="24"/>
        </w:rPr>
        <w:t xml:space="preserve">? </w:t>
      </w:r>
      <w:r w:rsidRPr="001D140D">
        <w:rPr>
          <w:rFonts w:cs="Times New Roman"/>
          <w:sz w:val="24"/>
          <w:szCs w:val="24"/>
        </w:rPr>
        <w:t>As Geddes has observed, parliamentary understandings of evidence tend towards the legalistic.</w:t>
      </w:r>
      <w:r w:rsidRPr="001D140D">
        <w:rPr>
          <w:rStyle w:val="FootnoteReference"/>
          <w:rFonts w:cs="Times New Roman"/>
          <w:sz w:val="24"/>
          <w:szCs w:val="24"/>
        </w:rPr>
        <w:footnoteReference w:id="5"/>
      </w:r>
      <w:r w:rsidRPr="001D140D">
        <w:rPr>
          <w:rFonts w:cs="Times New Roman"/>
          <w:sz w:val="24"/>
          <w:szCs w:val="24"/>
        </w:rPr>
        <w:t xml:space="preserve"> </w:t>
      </w:r>
      <w:r w:rsidR="001D140D" w:rsidRPr="001D140D">
        <w:rPr>
          <w:rFonts w:cs="Times New Roman"/>
          <w:sz w:val="24"/>
          <w:szCs w:val="24"/>
        </w:rPr>
        <w:t xml:space="preserve">Informal evidence </w:t>
      </w:r>
      <w:r w:rsidR="00744CE8">
        <w:rPr>
          <w:rFonts w:cs="Times New Roman"/>
          <w:sz w:val="24"/>
          <w:szCs w:val="24"/>
        </w:rPr>
        <w:t xml:space="preserve">can </w:t>
      </w:r>
      <w:r w:rsidR="001D140D" w:rsidRPr="001D140D">
        <w:rPr>
          <w:rFonts w:cs="Times New Roman"/>
          <w:sz w:val="24"/>
          <w:szCs w:val="24"/>
        </w:rPr>
        <w:t>be described as evidence</w:t>
      </w:r>
      <w:r w:rsidRPr="001D140D">
        <w:rPr>
          <w:rFonts w:cs="Times New Roman"/>
          <w:sz w:val="24"/>
          <w:szCs w:val="24"/>
        </w:rPr>
        <w:t xml:space="preserve"> </w:t>
      </w:r>
      <w:r w:rsidR="00744CE8">
        <w:rPr>
          <w:rFonts w:cs="Times New Roman"/>
          <w:sz w:val="24"/>
          <w:szCs w:val="24"/>
        </w:rPr>
        <w:t xml:space="preserve">that </w:t>
      </w:r>
      <w:r w:rsidRPr="001D140D">
        <w:rPr>
          <w:rFonts w:cs="Times New Roman"/>
          <w:sz w:val="24"/>
          <w:szCs w:val="24"/>
        </w:rPr>
        <w:t>lacks a degree of authority or clarity that is otherwise present in a legal formalist conception of evidence</w:t>
      </w:r>
      <w:r w:rsidR="00744CE8">
        <w:rPr>
          <w:rFonts w:cs="Times New Roman"/>
          <w:sz w:val="24"/>
          <w:szCs w:val="24"/>
        </w:rPr>
        <w:t xml:space="preserve">, while </w:t>
      </w:r>
      <w:r w:rsidR="001D140D" w:rsidRPr="001D140D">
        <w:rPr>
          <w:rFonts w:cs="Times New Roman"/>
          <w:sz w:val="24"/>
          <w:szCs w:val="24"/>
        </w:rPr>
        <w:t xml:space="preserve">formal evidence </w:t>
      </w:r>
      <w:r w:rsidR="00593028">
        <w:rPr>
          <w:rFonts w:cs="Times New Roman"/>
          <w:sz w:val="24"/>
          <w:szCs w:val="24"/>
        </w:rPr>
        <w:t>could</w:t>
      </w:r>
      <w:r w:rsidR="00744CE8">
        <w:rPr>
          <w:rFonts w:cs="Times New Roman"/>
          <w:sz w:val="24"/>
          <w:szCs w:val="24"/>
        </w:rPr>
        <w:t xml:space="preserve"> be defined as </w:t>
      </w:r>
      <w:r w:rsidR="001D140D" w:rsidRPr="001D140D">
        <w:rPr>
          <w:rFonts w:cs="Times New Roman"/>
          <w:sz w:val="24"/>
          <w:szCs w:val="24"/>
        </w:rPr>
        <w:t xml:space="preserve">that </w:t>
      </w:r>
      <w:r w:rsidR="00744CE8">
        <w:rPr>
          <w:rFonts w:cs="Times New Roman"/>
          <w:sz w:val="24"/>
          <w:szCs w:val="24"/>
        </w:rPr>
        <w:t xml:space="preserve">which </w:t>
      </w:r>
      <w:r w:rsidR="001D140D" w:rsidRPr="001D140D">
        <w:rPr>
          <w:rFonts w:cs="Times New Roman"/>
          <w:sz w:val="24"/>
          <w:szCs w:val="24"/>
        </w:rPr>
        <w:t xml:space="preserve">has been gathered using the formal powers of a committee, whether codified in statute or provided for in a legislature's standing orders. Most Australian jurisdictions have </w:t>
      </w:r>
      <w:r w:rsidR="00744CE8">
        <w:rPr>
          <w:rFonts w:cs="Times New Roman"/>
          <w:sz w:val="24"/>
          <w:szCs w:val="24"/>
        </w:rPr>
        <w:t>a P</w:t>
      </w:r>
      <w:r w:rsidR="001D140D" w:rsidRPr="001D140D">
        <w:rPr>
          <w:rFonts w:cs="Times New Roman"/>
          <w:sz w:val="24"/>
          <w:szCs w:val="24"/>
        </w:rPr>
        <w:t xml:space="preserve">arliamentary </w:t>
      </w:r>
      <w:r w:rsidR="00744CE8">
        <w:rPr>
          <w:rFonts w:cs="Times New Roman"/>
          <w:sz w:val="24"/>
          <w:szCs w:val="24"/>
        </w:rPr>
        <w:t>C</w:t>
      </w:r>
      <w:r w:rsidR="001D140D" w:rsidRPr="001D140D">
        <w:rPr>
          <w:rFonts w:cs="Times New Roman"/>
          <w:sz w:val="24"/>
          <w:szCs w:val="24"/>
        </w:rPr>
        <w:t xml:space="preserve">ommittees </w:t>
      </w:r>
      <w:r w:rsidR="00744CE8">
        <w:rPr>
          <w:rFonts w:cs="Times New Roman"/>
          <w:sz w:val="24"/>
          <w:szCs w:val="24"/>
        </w:rPr>
        <w:t>A</w:t>
      </w:r>
      <w:r w:rsidR="001D140D" w:rsidRPr="001D140D">
        <w:rPr>
          <w:rFonts w:cs="Times New Roman"/>
          <w:sz w:val="24"/>
          <w:szCs w:val="24"/>
        </w:rPr>
        <w:t xml:space="preserve">ct, </w:t>
      </w:r>
      <w:r w:rsidR="00744CE8">
        <w:rPr>
          <w:rFonts w:cs="Times New Roman"/>
          <w:sz w:val="24"/>
          <w:szCs w:val="24"/>
        </w:rPr>
        <w:t>P</w:t>
      </w:r>
      <w:r w:rsidR="001D140D" w:rsidRPr="001D140D">
        <w:rPr>
          <w:rFonts w:cs="Times New Roman"/>
          <w:sz w:val="24"/>
          <w:szCs w:val="24"/>
        </w:rPr>
        <w:t xml:space="preserve">rivileges </w:t>
      </w:r>
      <w:r w:rsidR="00744CE8">
        <w:rPr>
          <w:rFonts w:cs="Times New Roman"/>
          <w:sz w:val="24"/>
          <w:szCs w:val="24"/>
        </w:rPr>
        <w:t>A</w:t>
      </w:r>
      <w:r w:rsidR="001D140D" w:rsidRPr="001D140D">
        <w:rPr>
          <w:rFonts w:cs="Times New Roman"/>
          <w:sz w:val="24"/>
          <w:szCs w:val="24"/>
        </w:rPr>
        <w:t>ct or other statu</w:t>
      </w:r>
      <w:r w:rsidR="00593028">
        <w:rPr>
          <w:rFonts w:cs="Times New Roman"/>
          <w:sz w:val="24"/>
          <w:szCs w:val="24"/>
        </w:rPr>
        <w:t>t</w:t>
      </w:r>
      <w:r w:rsidR="001D140D" w:rsidRPr="001D140D">
        <w:rPr>
          <w:rFonts w:cs="Times New Roman"/>
          <w:sz w:val="24"/>
          <w:szCs w:val="24"/>
        </w:rPr>
        <w:t xml:space="preserve">e that gives committees the powers to send for persons (to give oral evidence), documents and </w:t>
      </w:r>
      <w:r w:rsidR="001D140D" w:rsidRPr="001D140D">
        <w:rPr>
          <w:rFonts w:cs="Times New Roman"/>
          <w:sz w:val="24"/>
          <w:szCs w:val="24"/>
        </w:rPr>
        <w:lastRenderedPageBreak/>
        <w:t>other forms of evidence.</w:t>
      </w:r>
      <w:r w:rsidR="001D140D" w:rsidRPr="001D140D">
        <w:rPr>
          <w:rStyle w:val="FootnoteReference"/>
          <w:rFonts w:cs="Times New Roman"/>
          <w:sz w:val="24"/>
          <w:szCs w:val="24"/>
        </w:rPr>
        <w:footnoteReference w:id="6"/>
      </w:r>
      <w:r w:rsidR="001D140D" w:rsidRPr="001D140D">
        <w:rPr>
          <w:rFonts w:cs="Times New Roman"/>
          <w:sz w:val="24"/>
          <w:szCs w:val="24"/>
        </w:rPr>
        <w:t xml:space="preserve"> In New South Wales, the power to call for evidence is provided for in </w:t>
      </w:r>
      <w:r w:rsidR="00744CE8">
        <w:rPr>
          <w:rFonts w:cs="Times New Roman"/>
          <w:sz w:val="24"/>
          <w:szCs w:val="24"/>
        </w:rPr>
        <w:t xml:space="preserve">each House's </w:t>
      </w:r>
      <w:r w:rsidR="001D140D" w:rsidRPr="001D140D">
        <w:rPr>
          <w:rFonts w:cs="Times New Roman"/>
          <w:sz w:val="24"/>
          <w:szCs w:val="24"/>
        </w:rPr>
        <w:t xml:space="preserve">standing orders or, in the case of </w:t>
      </w:r>
      <w:r w:rsidR="00744CE8">
        <w:rPr>
          <w:rFonts w:cs="Times New Roman"/>
          <w:sz w:val="24"/>
          <w:szCs w:val="24"/>
        </w:rPr>
        <w:t xml:space="preserve">statutory </w:t>
      </w:r>
      <w:r w:rsidR="001D140D" w:rsidRPr="001D140D">
        <w:rPr>
          <w:rFonts w:cs="Times New Roman"/>
          <w:sz w:val="24"/>
          <w:szCs w:val="24"/>
        </w:rPr>
        <w:t>oversight committees, within the relevant statute.</w:t>
      </w:r>
      <w:r w:rsidR="001D140D" w:rsidRPr="001D140D">
        <w:rPr>
          <w:rStyle w:val="FootnoteReference"/>
          <w:rFonts w:cs="Times New Roman"/>
          <w:sz w:val="24"/>
          <w:szCs w:val="24"/>
        </w:rPr>
        <w:footnoteReference w:id="7"/>
      </w:r>
    </w:p>
    <w:p w14:paraId="3FBE66AE" w14:textId="21695F51" w:rsidR="001D140D" w:rsidRPr="001D140D" w:rsidRDefault="001D140D" w:rsidP="001D140D">
      <w:pPr>
        <w:spacing w:line="360" w:lineRule="auto"/>
        <w:rPr>
          <w:rFonts w:cs="Times New Roman"/>
          <w:sz w:val="24"/>
          <w:szCs w:val="24"/>
        </w:rPr>
      </w:pPr>
      <w:r w:rsidRPr="001D140D">
        <w:rPr>
          <w:rFonts w:cs="Times New Roman"/>
          <w:sz w:val="24"/>
          <w:szCs w:val="24"/>
        </w:rPr>
        <w:t xml:space="preserve">There is potential ambiguity in </w:t>
      </w:r>
      <w:r w:rsidR="00744CE8">
        <w:rPr>
          <w:rFonts w:cs="Times New Roman"/>
          <w:sz w:val="24"/>
          <w:szCs w:val="24"/>
        </w:rPr>
        <w:t xml:space="preserve">relying on </w:t>
      </w:r>
      <w:r w:rsidRPr="001D140D">
        <w:rPr>
          <w:rFonts w:cs="Times New Roman"/>
          <w:sz w:val="24"/>
          <w:szCs w:val="24"/>
        </w:rPr>
        <w:t xml:space="preserve">this definition, as some legislatures </w:t>
      </w:r>
      <w:r w:rsidR="00744CE8">
        <w:rPr>
          <w:rFonts w:cs="Times New Roman"/>
          <w:sz w:val="24"/>
          <w:szCs w:val="24"/>
        </w:rPr>
        <w:t xml:space="preserve">explicitly </w:t>
      </w:r>
      <w:r w:rsidRPr="001D140D">
        <w:rPr>
          <w:rFonts w:cs="Times New Roman"/>
          <w:sz w:val="24"/>
          <w:szCs w:val="24"/>
        </w:rPr>
        <w:t>provide for committees to conduct activities that may lead to the collection of informal evidence. For example, the NSW Legislative Council's Standing Order 214(d) empowers committees to conduct visits of inspection,</w:t>
      </w:r>
      <w:r w:rsidRPr="001D140D">
        <w:rPr>
          <w:rStyle w:val="FootnoteReference"/>
          <w:rFonts w:cs="Times New Roman"/>
          <w:sz w:val="24"/>
          <w:szCs w:val="24"/>
        </w:rPr>
        <w:footnoteReference w:id="8"/>
      </w:r>
      <w:r w:rsidRPr="001D140D">
        <w:rPr>
          <w:rFonts w:cs="Times New Roman"/>
          <w:sz w:val="24"/>
          <w:szCs w:val="24"/>
        </w:rPr>
        <w:t xml:space="preserve"> which may </w:t>
      </w:r>
      <w:r w:rsidR="00744CE8">
        <w:rPr>
          <w:rFonts w:cs="Times New Roman"/>
          <w:sz w:val="24"/>
          <w:szCs w:val="24"/>
        </w:rPr>
        <w:t>suggest that informal evidence is nonetheless gathered through formal committee activity</w:t>
      </w:r>
      <w:r w:rsidRPr="001D140D">
        <w:rPr>
          <w:rFonts w:cs="Times New Roman"/>
          <w:sz w:val="24"/>
          <w:szCs w:val="24"/>
        </w:rPr>
        <w:t xml:space="preserve">. </w:t>
      </w:r>
      <w:r w:rsidR="00744CE8">
        <w:rPr>
          <w:rFonts w:cs="Times New Roman"/>
          <w:sz w:val="24"/>
          <w:szCs w:val="24"/>
        </w:rPr>
        <w:t>Furthermore, while t</w:t>
      </w:r>
      <w:r w:rsidRPr="001D140D">
        <w:rPr>
          <w:rFonts w:cs="Times New Roman"/>
          <w:sz w:val="24"/>
          <w:szCs w:val="24"/>
        </w:rPr>
        <w:t xml:space="preserve">here are other rules and frameworks that </w:t>
      </w:r>
      <w:r w:rsidR="00744CE8">
        <w:rPr>
          <w:rFonts w:cs="Times New Roman"/>
          <w:sz w:val="24"/>
          <w:szCs w:val="24"/>
        </w:rPr>
        <w:t>shape</w:t>
      </w:r>
      <w:r w:rsidRPr="001D140D">
        <w:rPr>
          <w:rFonts w:cs="Times New Roman"/>
          <w:sz w:val="24"/>
          <w:szCs w:val="24"/>
        </w:rPr>
        <w:t xml:space="preserve"> the </w:t>
      </w:r>
      <w:r w:rsidR="00744CE8">
        <w:rPr>
          <w:rFonts w:cs="Times New Roman"/>
          <w:sz w:val="24"/>
          <w:szCs w:val="24"/>
        </w:rPr>
        <w:t xml:space="preserve">use </w:t>
      </w:r>
      <w:r w:rsidRPr="001D140D">
        <w:rPr>
          <w:rFonts w:cs="Times New Roman"/>
          <w:sz w:val="24"/>
          <w:szCs w:val="24"/>
        </w:rPr>
        <w:t>of evidence</w:t>
      </w:r>
      <w:r w:rsidR="00744CE8">
        <w:rPr>
          <w:rFonts w:cs="Times New Roman"/>
          <w:sz w:val="24"/>
          <w:szCs w:val="24"/>
        </w:rPr>
        <w:t xml:space="preserve"> –</w:t>
      </w:r>
      <w:r w:rsidRPr="001D140D">
        <w:rPr>
          <w:rFonts w:cs="Times New Roman"/>
          <w:sz w:val="24"/>
          <w:szCs w:val="24"/>
        </w:rPr>
        <w:t xml:space="preserve"> such as </w:t>
      </w:r>
      <w:r w:rsidR="00593028">
        <w:rPr>
          <w:rFonts w:cs="Times New Roman"/>
          <w:sz w:val="24"/>
          <w:szCs w:val="24"/>
        </w:rPr>
        <w:t xml:space="preserve">guidelines on </w:t>
      </w:r>
      <w:r w:rsidRPr="001D140D">
        <w:rPr>
          <w:rFonts w:cs="Times New Roman"/>
          <w:sz w:val="24"/>
          <w:szCs w:val="24"/>
        </w:rPr>
        <w:t>procedural fairness for witnesses, penalties for refusing to appear before a committee, restrictions on what evidence can be published</w:t>
      </w:r>
      <w:r w:rsidR="00593028">
        <w:rPr>
          <w:rFonts w:cs="Times New Roman"/>
          <w:sz w:val="24"/>
          <w:szCs w:val="24"/>
        </w:rPr>
        <w:t>,</w:t>
      </w:r>
      <w:r w:rsidRPr="001D140D">
        <w:rPr>
          <w:rFonts w:cs="Times New Roman"/>
          <w:sz w:val="24"/>
          <w:szCs w:val="24"/>
        </w:rPr>
        <w:t xml:space="preserve"> and the protections of parliamentary privilege attracted by formal committee proceedings</w:t>
      </w:r>
      <w:r w:rsidR="00744CE8">
        <w:rPr>
          <w:rFonts w:cs="Times New Roman"/>
          <w:sz w:val="24"/>
          <w:szCs w:val="24"/>
        </w:rPr>
        <w:t xml:space="preserve"> – </w:t>
      </w:r>
      <w:r w:rsidRPr="001D140D">
        <w:rPr>
          <w:rFonts w:cs="Times New Roman"/>
          <w:sz w:val="24"/>
          <w:szCs w:val="24"/>
        </w:rPr>
        <w:t>these</w:t>
      </w:r>
      <w:r w:rsidR="00744CE8">
        <w:rPr>
          <w:rFonts w:cs="Times New Roman"/>
          <w:sz w:val="24"/>
          <w:szCs w:val="24"/>
        </w:rPr>
        <w:t xml:space="preserve"> </w:t>
      </w:r>
      <w:r w:rsidRPr="001D140D">
        <w:rPr>
          <w:rFonts w:cs="Times New Roman"/>
          <w:sz w:val="24"/>
          <w:szCs w:val="24"/>
        </w:rPr>
        <w:t>exist in varying degrees of codification and clarity across jurisdictions</w:t>
      </w:r>
      <w:r w:rsidR="00744CE8">
        <w:rPr>
          <w:rFonts w:cs="Times New Roman"/>
          <w:sz w:val="24"/>
          <w:szCs w:val="24"/>
        </w:rPr>
        <w:t>.</w:t>
      </w:r>
      <w:r w:rsidRPr="001D140D">
        <w:rPr>
          <w:rFonts w:cs="Times New Roman"/>
          <w:sz w:val="24"/>
          <w:szCs w:val="24"/>
        </w:rPr>
        <w:t xml:space="preserve"> The reliance on evidence </w:t>
      </w:r>
      <w:r w:rsidR="00593028">
        <w:rPr>
          <w:rFonts w:cs="Times New Roman"/>
          <w:sz w:val="24"/>
          <w:szCs w:val="24"/>
        </w:rPr>
        <w:t xml:space="preserve">given </w:t>
      </w:r>
      <w:r w:rsidRPr="001D140D">
        <w:rPr>
          <w:rFonts w:cs="Times New Roman"/>
          <w:sz w:val="24"/>
          <w:szCs w:val="24"/>
        </w:rPr>
        <w:t>voluntarily, for example, can lend a degree of informality to established practices of evidence gathering in some jurisdictions.</w:t>
      </w:r>
    </w:p>
    <w:p w14:paraId="6F6B5A3D" w14:textId="729552BA" w:rsidR="00A82C31" w:rsidRPr="001D140D" w:rsidRDefault="001D140D" w:rsidP="001D140D">
      <w:pPr>
        <w:spacing w:line="360" w:lineRule="auto"/>
        <w:rPr>
          <w:rFonts w:cs="Times New Roman"/>
          <w:sz w:val="24"/>
          <w:szCs w:val="24"/>
        </w:rPr>
      </w:pPr>
      <w:r w:rsidRPr="001D140D">
        <w:rPr>
          <w:rFonts w:cs="Times New Roman"/>
          <w:sz w:val="24"/>
          <w:szCs w:val="24"/>
        </w:rPr>
        <w:t xml:space="preserve">Moreover, it is worth noting that evidence, in a parliamentary setting, lacks </w:t>
      </w:r>
      <w:r w:rsidR="00744CE8">
        <w:rPr>
          <w:rFonts w:cs="Times New Roman"/>
          <w:sz w:val="24"/>
          <w:szCs w:val="24"/>
        </w:rPr>
        <w:t>any</w:t>
      </w:r>
      <w:r w:rsidRPr="001D140D">
        <w:rPr>
          <w:rFonts w:cs="Times New Roman"/>
          <w:sz w:val="24"/>
          <w:szCs w:val="24"/>
        </w:rPr>
        <w:t xml:space="preserve"> standards of proof or codified rules of admissibility that are present in </w:t>
      </w:r>
      <w:r w:rsidR="00A82C31" w:rsidRPr="001D140D">
        <w:rPr>
          <w:rFonts w:cs="Times New Roman"/>
          <w:sz w:val="24"/>
          <w:szCs w:val="24"/>
        </w:rPr>
        <w:t xml:space="preserve">other settings. </w:t>
      </w:r>
      <w:r w:rsidRPr="001D140D">
        <w:rPr>
          <w:rFonts w:cs="Times New Roman"/>
          <w:sz w:val="24"/>
          <w:szCs w:val="24"/>
        </w:rPr>
        <w:t>Evidence in criminal trials must reach the standard of proving beyond reasonable doubt, while claims and findings in civil cases and the work of some investigatory bodies, such as anticorruption agencies,</w:t>
      </w:r>
      <w:r w:rsidRPr="001D140D">
        <w:rPr>
          <w:rStyle w:val="FootnoteReference"/>
          <w:rFonts w:cs="Times New Roman"/>
          <w:sz w:val="24"/>
          <w:szCs w:val="24"/>
        </w:rPr>
        <w:footnoteReference w:id="9"/>
      </w:r>
      <w:r w:rsidRPr="001D140D">
        <w:rPr>
          <w:rFonts w:cs="Times New Roman"/>
          <w:sz w:val="24"/>
          <w:szCs w:val="24"/>
        </w:rPr>
        <w:t xml:space="preserve"> </w:t>
      </w:r>
      <w:r w:rsidR="00744CE8">
        <w:rPr>
          <w:rFonts w:cs="Times New Roman"/>
          <w:sz w:val="24"/>
          <w:szCs w:val="24"/>
        </w:rPr>
        <w:t xml:space="preserve">rest upon </w:t>
      </w:r>
      <w:r w:rsidRPr="001D140D">
        <w:rPr>
          <w:rFonts w:cs="Times New Roman"/>
          <w:sz w:val="24"/>
          <w:szCs w:val="24"/>
        </w:rPr>
        <w:t>the balance of probabilities.</w:t>
      </w:r>
      <w:r w:rsidR="006F6A0F" w:rsidRPr="001D140D">
        <w:rPr>
          <w:rStyle w:val="FootnoteReference"/>
          <w:rFonts w:cs="Times New Roman"/>
          <w:sz w:val="24"/>
          <w:szCs w:val="24"/>
        </w:rPr>
        <w:footnoteReference w:id="10"/>
      </w:r>
      <w:r w:rsidRPr="001D140D">
        <w:rPr>
          <w:rFonts w:cs="Times New Roman"/>
          <w:sz w:val="24"/>
          <w:szCs w:val="24"/>
        </w:rPr>
        <w:t xml:space="preserve"> Although </w:t>
      </w:r>
      <w:r w:rsidR="00A82C31" w:rsidRPr="001D140D">
        <w:rPr>
          <w:rFonts w:cs="Times New Roman"/>
          <w:sz w:val="24"/>
          <w:szCs w:val="24"/>
        </w:rPr>
        <w:t xml:space="preserve">committee members and committee staff </w:t>
      </w:r>
      <w:r w:rsidR="00593028">
        <w:rPr>
          <w:rFonts w:cs="Times New Roman"/>
          <w:sz w:val="24"/>
          <w:szCs w:val="24"/>
        </w:rPr>
        <w:t xml:space="preserve">are </w:t>
      </w:r>
      <w:r w:rsidRPr="001D140D">
        <w:rPr>
          <w:rFonts w:cs="Times New Roman"/>
          <w:sz w:val="24"/>
          <w:szCs w:val="24"/>
        </w:rPr>
        <w:t>likely</w:t>
      </w:r>
      <w:r w:rsidR="00332DE8">
        <w:rPr>
          <w:rFonts w:cs="Times New Roman"/>
          <w:sz w:val="24"/>
          <w:szCs w:val="24"/>
        </w:rPr>
        <w:t xml:space="preserve"> to</w:t>
      </w:r>
      <w:r w:rsidR="00A82C31" w:rsidRPr="001D140D">
        <w:rPr>
          <w:rFonts w:cs="Times New Roman"/>
          <w:sz w:val="24"/>
          <w:szCs w:val="24"/>
        </w:rPr>
        <w:t xml:space="preserve"> have </w:t>
      </w:r>
      <w:r w:rsidRPr="001D140D">
        <w:rPr>
          <w:rFonts w:cs="Times New Roman"/>
          <w:sz w:val="24"/>
          <w:szCs w:val="24"/>
        </w:rPr>
        <w:t xml:space="preserve">practical </w:t>
      </w:r>
      <w:r w:rsidR="00A82C31" w:rsidRPr="001D140D">
        <w:rPr>
          <w:rFonts w:cs="Times New Roman"/>
          <w:sz w:val="24"/>
          <w:szCs w:val="24"/>
        </w:rPr>
        <w:t xml:space="preserve">understandings of what counts as "reliable" or "useful" evidence, there is no standard of proof that guides the use of evidence </w:t>
      </w:r>
      <w:r w:rsidRPr="001D140D">
        <w:rPr>
          <w:rFonts w:cs="Times New Roman"/>
          <w:sz w:val="24"/>
          <w:szCs w:val="24"/>
        </w:rPr>
        <w:t>by parliamentary committees.</w:t>
      </w:r>
    </w:p>
    <w:p w14:paraId="524BE944" w14:textId="4A1C13F0" w:rsidR="001D140D" w:rsidRDefault="001D140D" w:rsidP="001D140D">
      <w:pPr>
        <w:spacing w:line="360" w:lineRule="auto"/>
        <w:rPr>
          <w:rFonts w:cs="Times New Roman"/>
          <w:sz w:val="24"/>
          <w:szCs w:val="24"/>
        </w:rPr>
      </w:pPr>
      <w:r w:rsidRPr="001D140D">
        <w:rPr>
          <w:rFonts w:cs="Times New Roman"/>
          <w:sz w:val="24"/>
          <w:szCs w:val="24"/>
        </w:rPr>
        <w:t xml:space="preserve">Rather than rely purely on a legal </w:t>
      </w:r>
      <w:r w:rsidR="00744CE8">
        <w:rPr>
          <w:rFonts w:cs="Times New Roman"/>
          <w:sz w:val="24"/>
          <w:szCs w:val="24"/>
        </w:rPr>
        <w:t xml:space="preserve">understanding, the definition of formal and informal evidence is dependent on </w:t>
      </w:r>
      <w:r w:rsidRPr="001D140D">
        <w:rPr>
          <w:rFonts w:cs="Times New Roman"/>
          <w:sz w:val="24"/>
          <w:szCs w:val="24"/>
        </w:rPr>
        <w:t xml:space="preserve">the functional characteristics of evidence gathering and the established conventions of how committees operate. Erskine May </w:t>
      </w:r>
      <w:r w:rsidR="00744CE8">
        <w:rPr>
          <w:rFonts w:cs="Times New Roman"/>
          <w:sz w:val="24"/>
          <w:szCs w:val="24"/>
        </w:rPr>
        <w:t>describes</w:t>
      </w:r>
      <w:r w:rsidRPr="001D140D">
        <w:rPr>
          <w:rFonts w:cs="Times New Roman"/>
          <w:sz w:val="24"/>
          <w:szCs w:val="24"/>
        </w:rPr>
        <w:t xml:space="preserve"> the common practice of select committees (or portfolio committees, in other jurisdictions), whereby committees 'rely very largely' on written and oral evidence that has been gathered through a process of seeking </w:t>
      </w:r>
      <w:r w:rsidRPr="001D140D">
        <w:rPr>
          <w:rFonts w:cs="Times New Roman"/>
          <w:sz w:val="24"/>
          <w:szCs w:val="24"/>
        </w:rPr>
        <w:lastRenderedPageBreak/>
        <w:t>'written evidence initially in particular from those whom the committee intends later to invite to give oral evidence</w:t>
      </w:r>
      <w:r w:rsidR="00593028">
        <w:rPr>
          <w:rFonts w:cs="Times New Roman"/>
          <w:sz w:val="24"/>
          <w:szCs w:val="24"/>
        </w:rPr>
        <w:t>,</w:t>
      </w:r>
      <w:r w:rsidRPr="001D140D">
        <w:rPr>
          <w:rFonts w:cs="Times New Roman"/>
          <w:sz w:val="24"/>
          <w:szCs w:val="24"/>
        </w:rPr>
        <w:t xml:space="preserve"> in addition to issuing a general invitation to submit written evidence'.</w:t>
      </w:r>
      <w:r w:rsidRPr="001D140D">
        <w:rPr>
          <w:rStyle w:val="FootnoteReference"/>
          <w:rFonts w:cs="Times New Roman"/>
          <w:sz w:val="24"/>
          <w:szCs w:val="24"/>
        </w:rPr>
        <w:footnoteReference w:id="11"/>
      </w:r>
      <w:r w:rsidRPr="001D140D">
        <w:rPr>
          <w:rFonts w:cs="Times New Roman"/>
          <w:sz w:val="24"/>
          <w:szCs w:val="24"/>
        </w:rPr>
        <w:t xml:space="preserve"> Informal evidence could thus be described as evidence that has been gathered outside of these conventional practices, </w:t>
      </w:r>
      <w:r w:rsidR="00593028">
        <w:rPr>
          <w:rFonts w:cs="Times New Roman"/>
          <w:sz w:val="24"/>
          <w:szCs w:val="24"/>
        </w:rPr>
        <w:t xml:space="preserve">while also being </w:t>
      </w:r>
      <w:r w:rsidR="00744CE8">
        <w:rPr>
          <w:rFonts w:cs="Times New Roman"/>
          <w:sz w:val="24"/>
          <w:szCs w:val="24"/>
        </w:rPr>
        <w:t xml:space="preserve">comparatively lower </w:t>
      </w:r>
      <w:r w:rsidR="00593028">
        <w:rPr>
          <w:rFonts w:cs="Times New Roman"/>
          <w:sz w:val="24"/>
          <w:szCs w:val="24"/>
        </w:rPr>
        <w:t>in the</w:t>
      </w:r>
      <w:r w:rsidR="00744CE8">
        <w:rPr>
          <w:rFonts w:cs="Times New Roman"/>
          <w:sz w:val="24"/>
          <w:szCs w:val="24"/>
        </w:rPr>
        <w:t xml:space="preserve"> hierarchy </w:t>
      </w:r>
      <w:r w:rsidRPr="001D140D">
        <w:rPr>
          <w:rFonts w:cs="Times New Roman"/>
          <w:sz w:val="24"/>
          <w:szCs w:val="24"/>
        </w:rPr>
        <w:t xml:space="preserve">of legal formalism. </w:t>
      </w:r>
    </w:p>
    <w:p w14:paraId="778D42FC" w14:textId="4540C353" w:rsidR="00692D05" w:rsidRPr="001D140D" w:rsidRDefault="00692D05" w:rsidP="001D140D">
      <w:pPr>
        <w:spacing w:line="360" w:lineRule="auto"/>
        <w:rPr>
          <w:rFonts w:cs="Times New Roman"/>
          <w:sz w:val="24"/>
          <w:szCs w:val="24"/>
        </w:rPr>
      </w:pPr>
    </w:p>
    <w:p w14:paraId="29D671C2" w14:textId="322EC7D9" w:rsidR="00FC590C" w:rsidRPr="001D140D" w:rsidRDefault="001D140D" w:rsidP="001D140D">
      <w:pPr>
        <w:spacing w:line="360" w:lineRule="auto"/>
        <w:jc w:val="center"/>
        <w:rPr>
          <w:rFonts w:cs="Times New Roman"/>
          <w:b/>
          <w:bCs/>
          <w:caps/>
          <w:sz w:val="24"/>
          <w:szCs w:val="24"/>
        </w:rPr>
      </w:pPr>
      <w:r>
        <w:rPr>
          <w:rFonts w:cs="Times New Roman"/>
          <w:b/>
          <w:bCs/>
          <w:caps/>
          <w:sz w:val="24"/>
          <w:szCs w:val="24"/>
        </w:rPr>
        <w:t>3</w:t>
      </w:r>
      <w:r w:rsidRPr="001D140D">
        <w:rPr>
          <w:rFonts w:cs="Times New Roman"/>
          <w:b/>
          <w:bCs/>
          <w:caps/>
          <w:sz w:val="24"/>
          <w:szCs w:val="24"/>
        </w:rPr>
        <w:t xml:space="preserve">. </w:t>
      </w:r>
      <w:r w:rsidR="006257C2" w:rsidRPr="001D140D">
        <w:rPr>
          <w:rFonts w:cs="Times New Roman"/>
          <w:b/>
          <w:bCs/>
          <w:caps/>
          <w:sz w:val="24"/>
          <w:szCs w:val="24"/>
        </w:rPr>
        <w:t xml:space="preserve">The </w:t>
      </w:r>
      <w:r w:rsidRPr="001D140D">
        <w:rPr>
          <w:rFonts w:cs="Times New Roman"/>
          <w:b/>
          <w:bCs/>
          <w:caps/>
          <w:sz w:val="24"/>
          <w:szCs w:val="24"/>
        </w:rPr>
        <w:t>B</w:t>
      </w:r>
      <w:r w:rsidR="006257C2" w:rsidRPr="001D140D">
        <w:rPr>
          <w:rFonts w:cs="Times New Roman"/>
          <w:b/>
          <w:bCs/>
          <w:caps/>
          <w:sz w:val="24"/>
          <w:szCs w:val="24"/>
        </w:rPr>
        <w:t xml:space="preserve">enefits of </w:t>
      </w:r>
      <w:r w:rsidRPr="001D140D">
        <w:rPr>
          <w:rFonts w:cs="Times New Roman"/>
          <w:b/>
          <w:bCs/>
          <w:caps/>
          <w:sz w:val="24"/>
          <w:szCs w:val="24"/>
        </w:rPr>
        <w:t>G</w:t>
      </w:r>
      <w:r w:rsidR="006257C2" w:rsidRPr="001D140D">
        <w:rPr>
          <w:rFonts w:cs="Times New Roman"/>
          <w:b/>
          <w:bCs/>
          <w:caps/>
          <w:sz w:val="24"/>
          <w:szCs w:val="24"/>
        </w:rPr>
        <w:t xml:space="preserve">reater </w:t>
      </w:r>
      <w:r w:rsidRPr="001D140D">
        <w:rPr>
          <w:rFonts w:cs="Times New Roman"/>
          <w:b/>
          <w:bCs/>
          <w:caps/>
          <w:sz w:val="24"/>
          <w:szCs w:val="24"/>
        </w:rPr>
        <w:t xml:space="preserve">Utilisation </w:t>
      </w:r>
      <w:r w:rsidR="006257C2" w:rsidRPr="001D140D">
        <w:rPr>
          <w:rFonts w:cs="Times New Roman"/>
          <w:b/>
          <w:bCs/>
          <w:caps/>
          <w:sz w:val="24"/>
          <w:szCs w:val="24"/>
        </w:rPr>
        <w:t xml:space="preserve">of </w:t>
      </w:r>
      <w:r w:rsidRPr="001D140D">
        <w:rPr>
          <w:rFonts w:cs="Times New Roman"/>
          <w:b/>
          <w:bCs/>
          <w:caps/>
          <w:sz w:val="24"/>
          <w:szCs w:val="24"/>
        </w:rPr>
        <w:t>I</w:t>
      </w:r>
      <w:r w:rsidR="006257C2" w:rsidRPr="001D140D">
        <w:rPr>
          <w:rFonts w:cs="Times New Roman"/>
          <w:b/>
          <w:bCs/>
          <w:caps/>
          <w:sz w:val="24"/>
          <w:szCs w:val="24"/>
        </w:rPr>
        <w:t xml:space="preserve">nformal </w:t>
      </w:r>
      <w:r w:rsidRPr="001D140D">
        <w:rPr>
          <w:rFonts w:cs="Times New Roman"/>
          <w:b/>
          <w:bCs/>
          <w:caps/>
          <w:sz w:val="24"/>
          <w:szCs w:val="24"/>
        </w:rPr>
        <w:t>E</w:t>
      </w:r>
      <w:r w:rsidR="006257C2" w:rsidRPr="001D140D">
        <w:rPr>
          <w:rFonts w:cs="Times New Roman"/>
          <w:b/>
          <w:bCs/>
          <w:caps/>
          <w:sz w:val="24"/>
          <w:szCs w:val="24"/>
        </w:rPr>
        <w:t>vidence</w:t>
      </w:r>
    </w:p>
    <w:p w14:paraId="6C4EA604" w14:textId="581AD2E6" w:rsidR="006257C2" w:rsidRDefault="006257C2" w:rsidP="001D140D">
      <w:pPr>
        <w:spacing w:line="360" w:lineRule="auto"/>
        <w:rPr>
          <w:rFonts w:cs="Times New Roman"/>
          <w:color w:val="FF0000"/>
          <w:sz w:val="24"/>
          <w:szCs w:val="24"/>
        </w:rPr>
      </w:pPr>
      <w:r w:rsidRPr="001D140D">
        <w:rPr>
          <w:rFonts w:cs="Times New Roman"/>
          <w:sz w:val="24"/>
          <w:szCs w:val="24"/>
        </w:rPr>
        <w:t xml:space="preserve">This section explores potential benefits </w:t>
      </w:r>
      <w:r w:rsidR="00593028">
        <w:rPr>
          <w:rFonts w:cs="Times New Roman"/>
          <w:sz w:val="24"/>
          <w:szCs w:val="24"/>
        </w:rPr>
        <w:t xml:space="preserve">to </w:t>
      </w:r>
      <w:r w:rsidRPr="001D140D">
        <w:rPr>
          <w:rFonts w:cs="Times New Roman"/>
          <w:sz w:val="24"/>
          <w:szCs w:val="24"/>
        </w:rPr>
        <w:t>committee inquiries utilis</w:t>
      </w:r>
      <w:r w:rsidR="00593028">
        <w:rPr>
          <w:rFonts w:cs="Times New Roman"/>
          <w:sz w:val="24"/>
          <w:szCs w:val="24"/>
        </w:rPr>
        <w:t>ing</w:t>
      </w:r>
      <w:r w:rsidRPr="001D140D">
        <w:rPr>
          <w:rFonts w:cs="Times New Roman"/>
          <w:sz w:val="24"/>
          <w:szCs w:val="24"/>
        </w:rPr>
        <w:t xml:space="preserve"> informal evidence more frequently and consistently. </w:t>
      </w:r>
      <w:r w:rsidR="00744CE8">
        <w:rPr>
          <w:rFonts w:cs="Times New Roman"/>
          <w:sz w:val="24"/>
          <w:szCs w:val="24"/>
        </w:rPr>
        <w:t xml:space="preserve">To begin with, </w:t>
      </w:r>
      <w:r w:rsidRPr="001D140D">
        <w:rPr>
          <w:rFonts w:cs="Times New Roman"/>
          <w:sz w:val="24"/>
          <w:szCs w:val="24"/>
        </w:rPr>
        <w:t xml:space="preserve">informal evidence gathered through site visits, roundtables and private briefings may suit committee members' preferences. Engaging with stakeholders in less public or more intimate fora may feel more authentic for committee members, particularly for those lower house members who frequently meet with constituents and community interest groups outside </w:t>
      </w:r>
      <w:r w:rsidR="00744CE8">
        <w:rPr>
          <w:rFonts w:cs="Times New Roman"/>
          <w:sz w:val="24"/>
          <w:szCs w:val="24"/>
        </w:rPr>
        <w:t xml:space="preserve">the </w:t>
      </w:r>
      <w:r w:rsidRPr="001D140D">
        <w:rPr>
          <w:rFonts w:cs="Times New Roman"/>
          <w:sz w:val="24"/>
          <w:szCs w:val="24"/>
        </w:rPr>
        <w:t>parliamentary precinct</w:t>
      </w:r>
      <w:r w:rsidR="00744CE8">
        <w:rPr>
          <w:rFonts w:cs="Times New Roman"/>
          <w:sz w:val="24"/>
          <w:szCs w:val="24"/>
        </w:rPr>
        <w:t xml:space="preserve"> and formal committee business</w:t>
      </w:r>
      <w:r w:rsidRPr="001D140D">
        <w:rPr>
          <w:rFonts w:cs="Times New Roman"/>
          <w:sz w:val="24"/>
          <w:szCs w:val="24"/>
        </w:rPr>
        <w:t>. In qualitative studies involving elected members, researchers have identified this preference for informal consultation over more structured and public forms of engagement.</w:t>
      </w:r>
      <w:r w:rsidRPr="001D140D">
        <w:rPr>
          <w:rStyle w:val="FootnoteReference"/>
          <w:rFonts w:cs="Times New Roman"/>
          <w:sz w:val="24"/>
          <w:szCs w:val="24"/>
        </w:rPr>
        <w:footnoteReference w:id="12"/>
      </w:r>
    </w:p>
    <w:p w14:paraId="40337D83" w14:textId="5D54CA69" w:rsidR="001D140D" w:rsidRPr="001D140D" w:rsidRDefault="001D140D" w:rsidP="001D140D">
      <w:pPr>
        <w:spacing w:line="360" w:lineRule="auto"/>
        <w:jc w:val="center"/>
        <w:rPr>
          <w:rFonts w:cs="Times New Roman"/>
          <w:i/>
          <w:iCs/>
          <w:sz w:val="24"/>
          <w:szCs w:val="24"/>
        </w:rPr>
      </w:pPr>
      <w:r>
        <w:rPr>
          <w:rFonts w:cs="Times New Roman"/>
          <w:sz w:val="24"/>
          <w:szCs w:val="24"/>
        </w:rPr>
        <w:t xml:space="preserve">A. </w:t>
      </w:r>
      <w:r>
        <w:rPr>
          <w:rFonts w:cs="Times New Roman"/>
          <w:i/>
          <w:iCs/>
          <w:sz w:val="24"/>
          <w:szCs w:val="24"/>
        </w:rPr>
        <w:t xml:space="preserve">Increasing Stakeholder Participation Through New Methods of Collecting Evidence </w:t>
      </w:r>
    </w:p>
    <w:p w14:paraId="183399D5" w14:textId="50120C19" w:rsidR="00D37A7D" w:rsidRPr="001D140D" w:rsidRDefault="006257C2" w:rsidP="001D140D">
      <w:pPr>
        <w:spacing w:line="360" w:lineRule="auto"/>
        <w:rPr>
          <w:rFonts w:cs="Times New Roman"/>
          <w:sz w:val="24"/>
          <w:szCs w:val="24"/>
        </w:rPr>
      </w:pPr>
      <w:r w:rsidRPr="001D140D">
        <w:rPr>
          <w:rFonts w:cs="Times New Roman"/>
          <w:sz w:val="24"/>
          <w:szCs w:val="24"/>
        </w:rPr>
        <w:t xml:space="preserve">From a stakeholder perspective, there may be benefits to broadening the collection of evidence beyond the conventional practices used most commonly in committee inquiries. A number of Westminster parliaments </w:t>
      </w:r>
      <w:r w:rsidR="00744CE8">
        <w:rPr>
          <w:rFonts w:cs="Times New Roman"/>
          <w:sz w:val="24"/>
          <w:szCs w:val="24"/>
        </w:rPr>
        <w:t>have</w:t>
      </w:r>
      <w:r w:rsidRPr="001D140D">
        <w:rPr>
          <w:rFonts w:cs="Times New Roman"/>
          <w:sz w:val="24"/>
          <w:szCs w:val="24"/>
        </w:rPr>
        <w:t xml:space="preserve"> explor</w:t>
      </w:r>
      <w:r w:rsidR="00744CE8">
        <w:rPr>
          <w:rFonts w:cs="Times New Roman"/>
          <w:sz w:val="24"/>
          <w:szCs w:val="24"/>
        </w:rPr>
        <w:t>ed</w:t>
      </w:r>
      <w:r w:rsidRPr="001D140D">
        <w:rPr>
          <w:rFonts w:cs="Times New Roman"/>
          <w:sz w:val="24"/>
          <w:szCs w:val="24"/>
        </w:rPr>
        <w:t xml:space="preserve"> new mediums and formats for gathering evidence, in order to increase public participation in committee inquiries. The House of Commons' Liaison Committee heard that written submissions </w:t>
      </w:r>
      <w:proofErr w:type="gramStart"/>
      <w:r w:rsidRPr="001D140D">
        <w:rPr>
          <w:rFonts w:cs="Times New Roman"/>
          <w:sz w:val="24"/>
          <w:szCs w:val="24"/>
        </w:rPr>
        <w:t>can</w:t>
      </w:r>
      <w:proofErr w:type="gramEnd"/>
      <w:r w:rsidRPr="001D140D">
        <w:rPr>
          <w:rFonts w:cs="Times New Roman"/>
          <w:sz w:val="24"/>
          <w:szCs w:val="24"/>
        </w:rPr>
        <w:t xml:space="preserve"> </w:t>
      </w:r>
      <w:r w:rsidR="00593028">
        <w:rPr>
          <w:rFonts w:cs="Times New Roman"/>
          <w:sz w:val="24"/>
          <w:szCs w:val="24"/>
        </w:rPr>
        <w:t>create</w:t>
      </w:r>
      <w:r w:rsidRPr="001D140D">
        <w:rPr>
          <w:rFonts w:cs="Times New Roman"/>
          <w:sz w:val="24"/>
          <w:szCs w:val="24"/>
        </w:rPr>
        <w:t xml:space="preserve"> educational and technical barriers for lay publics seeking to contribute to committee inquiries</w:t>
      </w:r>
      <w:r w:rsidR="00744CE8">
        <w:rPr>
          <w:rFonts w:cs="Times New Roman"/>
          <w:sz w:val="24"/>
          <w:szCs w:val="24"/>
        </w:rPr>
        <w:t xml:space="preserve">, </w:t>
      </w:r>
      <w:r w:rsidR="00593028">
        <w:rPr>
          <w:rFonts w:cs="Times New Roman"/>
          <w:sz w:val="24"/>
          <w:szCs w:val="24"/>
        </w:rPr>
        <w:t>due to</w:t>
      </w:r>
      <w:r w:rsidRPr="001D140D">
        <w:rPr>
          <w:rFonts w:cs="Times New Roman"/>
          <w:sz w:val="24"/>
          <w:szCs w:val="24"/>
        </w:rPr>
        <w:t xml:space="preserve"> </w:t>
      </w:r>
      <w:r w:rsidR="00744CE8">
        <w:rPr>
          <w:rFonts w:cs="Times New Roman"/>
          <w:sz w:val="24"/>
          <w:szCs w:val="24"/>
        </w:rPr>
        <w:t>unequal</w:t>
      </w:r>
      <w:r w:rsidRPr="001D140D">
        <w:rPr>
          <w:rFonts w:cs="Times New Roman"/>
          <w:sz w:val="24"/>
          <w:szCs w:val="24"/>
        </w:rPr>
        <w:t xml:space="preserve"> levels of literacy or socioeconomic </w:t>
      </w:r>
      <w:r w:rsidR="00744CE8">
        <w:rPr>
          <w:rFonts w:cs="Times New Roman"/>
          <w:sz w:val="24"/>
          <w:szCs w:val="24"/>
        </w:rPr>
        <w:t xml:space="preserve">and technological </w:t>
      </w:r>
      <w:r w:rsidRPr="001D140D">
        <w:rPr>
          <w:rFonts w:cs="Times New Roman"/>
          <w:sz w:val="24"/>
          <w:szCs w:val="24"/>
        </w:rPr>
        <w:t>disadvantage</w:t>
      </w:r>
      <w:r w:rsidR="00744CE8">
        <w:rPr>
          <w:rFonts w:cs="Times New Roman"/>
          <w:sz w:val="24"/>
          <w:szCs w:val="24"/>
        </w:rPr>
        <w:t>s</w:t>
      </w:r>
      <w:r w:rsidRPr="001D140D">
        <w:rPr>
          <w:rFonts w:cs="Times New Roman"/>
          <w:sz w:val="24"/>
          <w:szCs w:val="24"/>
        </w:rPr>
        <w:t>, and subsequently argued that its select committees should treat audio and video submissions as though they were 'formal evidence'.</w:t>
      </w:r>
      <w:r w:rsidR="00744CE8">
        <w:rPr>
          <w:rStyle w:val="FootnoteReference"/>
          <w:rFonts w:cs="Times New Roman"/>
          <w:sz w:val="24"/>
          <w:szCs w:val="24"/>
        </w:rPr>
        <w:footnoteReference w:id="13"/>
      </w:r>
      <w:r w:rsidRPr="001D140D">
        <w:rPr>
          <w:rFonts w:cs="Times New Roman"/>
          <w:sz w:val="24"/>
          <w:szCs w:val="24"/>
        </w:rPr>
        <w:t xml:space="preserve">  </w:t>
      </w:r>
    </w:p>
    <w:p w14:paraId="271C18E8" w14:textId="2D312565" w:rsidR="006257C2" w:rsidRDefault="006257C2" w:rsidP="001D140D">
      <w:pPr>
        <w:spacing w:line="360" w:lineRule="auto"/>
        <w:rPr>
          <w:rFonts w:cs="Times New Roman"/>
          <w:sz w:val="24"/>
          <w:szCs w:val="24"/>
        </w:rPr>
      </w:pPr>
      <w:r w:rsidRPr="001D140D">
        <w:rPr>
          <w:rFonts w:cs="Times New Roman"/>
          <w:sz w:val="24"/>
          <w:szCs w:val="24"/>
        </w:rPr>
        <w:t xml:space="preserve">The Scottish Parliament has developed its parliamentary engagement strategies over the recent decade, and submissions to committee inquiries can now be made in audio or video formats, </w:t>
      </w:r>
      <w:r w:rsidRPr="001D140D">
        <w:rPr>
          <w:rFonts w:cs="Times New Roman"/>
          <w:sz w:val="24"/>
          <w:szCs w:val="24"/>
        </w:rPr>
        <w:lastRenderedPageBreak/>
        <w:t>British Sign Language and, on a case-by-case basis, using languages other than English.</w:t>
      </w:r>
      <w:r w:rsidR="00744CE8" w:rsidRPr="001D140D">
        <w:rPr>
          <w:rStyle w:val="FootnoteReference"/>
          <w:rFonts w:cs="Times New Roman"/>
          <w:sz w:val="24"/>
          <w:szCs w:val="24"/>
        </w:rPr>
        <w:footnoteReference w:id="14"/>
      </w:r>
      <w:r w:rsidRPr="001D140D">
        <w:rPr>
          <w:rFonts w:cs="Times New Roman"/>
          <w:sz w:val="24"/>
          <w:szCs w:val="24"/>
        </w:rPr>
        <w:t xml:space="preserve"> While these examples may represent new ways of collecting evidence from the public that</w:t>
      </w:r>
      <w:r w:rsidR="00593028">
        <w:rPr>
          <w:rFonts w:cs="Times New Roman"/>
          <w:sz w:val="24"/>
          <w:szCs w:val="24"/>
        </w:rPr>
        <w:t>,</w:t>
      </w:r>
      <w:r w:rsidRPr="001D140D">
        <w:rPr>
          <w:rFonts w:cs="Times New Roman"/>
          <w:sz w:val="24"/>
          <w:szCs w:val="24"/>
        </w:rPr>
        <w:t xml:space="preserve"> ultimately</w:t>
      </w:r>
      <w:r w:rsidR="00593028">
        <w:rPr>
          <w:rFonts w:cs="Times New Roman"/>
          <w:sz w:val="24"/>
          <w:szCs w:val="24"/>
        </w:rPr>
        <w:t>, are</w:t>
      </w:r>
      <w:r w:rsidRPr="001D140D">
        <w:rPr>
          <w:rFonts w:cs="Times New Roman"/>
          <w:sz w:val="24"/>
          <w:szCs w:val="24"/>
        </w:rPr>
        <w:t xml:space="preserve"> handled the same way as formal evidence (e.g. video submissions that are transcribed and published as a formal, text-based submissions), they demonstrate the value of rethinking "conventional" evidence gathering practices with a view to increasing participation of citizens for whom traditional processes are less accessible.</w:t>
      </w:r>
    </w:p>
    <w:p w14:paraId="58FFD056" w14:textId="77777777" w:rsidR="00744CE8" w:rsidRDefault="00744CE8" w:rsidP="001D140D">
      <w:pPr>
        <w:spacing w:line="360" w:lineRule="auto"/>
        <w:rPr>
          <w:rFonts w:cs="Times New Roman"/>
          <w:sz w:val="24"/>
          <w:szCs w:val="24"/>
        </w:rPr>
      </w:pPr>
    </w:p>
    <w:p w14:paraId="7339DFC7" w14:textId="335D6150" w:rsidR="001D140D" w:rsidRPr="001D140D" w:rsidRDefault="001D140D" w:rsidP="001D140D">
      <w:pPr>
        <w:spacing w:line="360" w:lineRule="auto"/>
        <w:jc w:val="center"/>
        <w:rPr>
          <w:rFonts w:cs="Times New Roman"/>
          <w:i/>
          <w:iCs/>
          <w:sz w:val="24"/>
          <w:szCs w:val="24"/>
        </w:rPr>
      </w:pPr>
      <w:r>
        <w:rPr>
          <w:rFonts w:cs="Times New Roman"/>
          <w:sz w:val="24"/>
          <w:szCs w:val="24"/>
        </w:rPr>
        <w:t xml:space="preserve">B. </w:t>
      </w:r>
      <w:r>
        <w:rPr>
          <w:rFonts w:cs="Times New Roman"/>
          <w:i/>
          <w:iCs/>
          <w:sz w:val="24"/>
          <w:szCs w:val="24"/>
        </w:rPr>
        <w:t xml:space="preserve">Indigenous Australian Stakeholders and Culturally Appropriate Evidence </w:t>
      </w:r>
      <w:r w:rsidR="00593028">
        <w:rPr>
          <w:rFonts w:cs="Times New Roman"/>
          <w:i/>
          <w:iCs/>
          <w:sz w:val="24"/>
          <w:szCs w:val="24"/>
        </w:rPr>
        <w:t>Gathering</w:t>
      </w:r>
    </w:p>
    <w:p w14:paraId="2012D5EA" w14:textId="124D5EC4" w:rsidR="00D37A7D" w:rsidRPr="001D140D" w:rsidRDefault="006257C2" w:rsidP="001D140D">
      <w:pPr>
        <w:spacing w:line="360" w:lineRule="auto"/>
        <w:rPr>
          <w:rFonts w:cs="Times New Roman"/>
          <w:sz w:val="24"/>
          <w:szCs w:val="24"/>
        </w:rPr>
      </w:pPr>
      <w:r w:rsidRPr="001D140D">
        <w:rPr>
          <w:rFonts w:cs="Times New Roman"/>
          <w:sz w:val="24"/>
          <w:szCs w:val="24"/>
        </w:rPr>
        <w:t xml:space="preserve">Bridging the divide between formal and informal evidence is also an important consideration for </w:t>
      </w:r>
      <w:r w:rsidR="00744CE8">
        <w:rPr>
          <w:rFonts w:cs="Times New Roman"/>
          <w:sz w:val="24"/>
          <w:szCs w:val="24"/>
        </w:rPr>
        <w:t>I</w:t>
      </w:r>
      <w:r w:rsidRPr="001D140D">
        <w:rPr>
          <w:rFonts w:cs="Times New Roman"/>
          <w:sz w:val="24"/>
          <w:szCs w:val="24"/>
        </w:rPr>
        <w:t xml:space="preserve">ndigenous </w:t>
      </w:r>
      <w:r w:rsidR="00744CE8">
        <w:rPr>
          <w:rFonts w:cs="Times New Roman"/>
          <w:sz w:val="24"/>
          <w:szCs w:val="24"/>
        </w:rPr>
        <w:t xml:space="preserve">Australian </w:t>
      </w:r>
      <w:r w:rsidRPr="001D140D">
        <w:rPr>
          <w:rFonts w:cs="Times New Roman"/>
          <w:sz w:val="24"/>
          <w:szCs w:val="24"/>
        </w:rPr>
        <w:t xml:space="preserve">stakeholders. </w:t>
      </w:r>
      <w:r w:rsidR="00744CE8">
        <w:rPr>
          <w:rFonts w:cs="Times New Roman"/>
          <w:sz w:val="24"/>
          <w:szCs w:val="24"/>
        </w:rPr>
        <w:t>P</w:t>
      </w:r>
      <w:r w:rsidRPr="001D140D">
        <w:rPr>
          <w:rFonts w:cs="Times New Roman"/>
          <w:sz w:val="24"/>
          <w:szCs w:val="24"/>
        </w:rPr>
        <w:t xml:space="preserve">arliaments </w:t>
      </w:r>
      <w:r w:rsidR="00744CE8">
        <w:rPr>
          <w:rFonts w:cs="Times New Roman"/>
          <w:sz w:val="24"/>
          <w:szCs w:val="24"/>
        </w:rPr>
        <w:t xml:space="preserve">are </w:t>
      </w:r>
      <w:r w:rsidRPr="001D140D">
        <w:rPr>
          <w:rFonts w:cs="Times New Roman"/>
          <w:sz w:val="24"/>
          <w:szCs w:val="24"/>
        </w:rPr>
        <w:t xml:space="preserve">the living embodiment of the </w:t>
      </w:r>
      <w:r w:rsidR="00744CE8">
        <w:rPr>
          <w:rFonts w:cs="Times New Roman"/>
          <w:sz w:val="24"/>
          <w:szCs w:val="24"/>
        </w:rPr>
        <w:t xml:space="preserve">colonial </w:t>
      </w:r>
      <w:r w:rsidRPr="001D140D">
        <w:rPr>
          <w:rFonts w:cs="Times New Roman"/>
          <w:sz w:val="24"/>
          <w:szCs w:val="24"/>
        </w:rPr>
        <w:t xml:space="preserve">dismantling of Indigenous law and sovereignty, and </w:t>
      </w:r>
      <w:r w:rsidR="00744CE8">
        <w:rPr>
          <w:rFonts w:cs="Times New Roman"/>
          <w:sz w:val="24"/>
          <w:szCs w:val="24"/>
        </w:rPr>
        <w:t xml:space="preserve">the </w:t>
      </w:r>
      <w:r w:rsidR="00744CE8" w:rsidRPr="001D140D">
        <w:rPr>
          <w:rFonts w:cs="Times New Roman"/>
          <w:sz w:val="24"/>
          <w:szCs w:val="24"/>
        </w:rPr>
        <w:t>actions or inactions of</w:t>
      </w:r>
      <w:r w:rsidR="00744CE8">
        <w:rPr>
          <w:rFonts w:cs="Times New Roman"/>
          <w:sz w:val="24"/>
          <w:szCs w:val="24"/>
        </w:rPr>
        <w:t xml:space="preserve"> </w:t>
      </w:r>
      <w:r w:rsidR="00744CE8" w:rsidRPr="001D140D">
        <w:rPr>
          <w:rFonts w:cs="Times New Roman"/>
          <w:sz w:val="24"/>
          <w:szCs w:val="24"/>
        </w:rPr>
        <w:t>legislature</w:t>
      </w:r>
      <w:r w:rsidR="00744CE8">
        <w:rPr>
          <w:rFonts w:cs="Times New Roman"/>
          <w:sz w:val="24"/>
          <w:szCs w:val="24"/>
        </w:rPr>
        <w:t xml:space="preserve">s have been responsible for </w:t>
      </w:r>
      <w:r w:rsidRPr="001D140D">
        <w:rPr>
          <w:rFonts w:cs="Times New Roman"/>
          <w:sz w:val="24"/>
          <w:szCs w:val="24"/>
        </w:rPr>
        <w:t>myriad negative social, health and economic outcomes</w:t>
      </w:r>
      <w:r w:rsidR="00593028">
        <w:rPr>
          <w:rFonts w:cs="Times New Roman"/>
          <w:sz w:val="24"/>
          <w:szCs w:val="24"/>
        </w:rPr>
        <w:t xml:space="preserve"> for First Nations peoples.</w:t>
      </w:r>
      <w:r w:rsidRPr="001D140D">
        <w:rPr>
          <w:rFonts w:cs="Times New Roman"/>
          <w:sz w:val="24"/>
          <w:szCs w:val="24"/>
        </w:rPr>
        <w:t xml:space="preserve"> The formalist traditions of Westminster parliaments </w:t>
      </w:r>
      <w:r w:rsidR="007B625E" w:rsidRPr="001D140D">
        <w:rPr>
          <w:rFonts w:cs="Times New Roman"/>
          <w:sz w:val="24"/>
          <w:szCs w:val="24"/>
        </w:rPr>
        <w:t>may</w:t>
      </w:r>
      <w:r w:rsidRPr="001D140D">
        <w:rPr>
          <w:rFonts w:cs="Times New Roman"/>
          <w:sz w:val="24"/>
          <w:szCs w:val="24"/>
        </w:rPr>
        <w:t xml:space="preserve"> be alienating </w:t>
      </w:r>
      <w:r w:rsidR="007B625E" w:rsidRPr="001D140D">
        <w:rPr>
          <w:rFonts w:cs="Times New Roman"/>
          <w:sz w:val="24"/>
          <w:szCs w:val="24"/>
        </w:rPr>
        <w:t>or at least</w:t>
      </w:r>
      <w:r w:rsidRPr="001D140D">
        <w:rPr>
          <w:rFonts w:cs="Times New Roman"/>
          <w:sz w:val="24"/>
          <w:szCs w:val="24"/>
        </w:rPr>
        <w:t xml:space="preserve"> culturally inappropriate, particularly where the legalistic conception of committee evidence </w:t>
      </w:r>
      <w:r w:rsidR="00744CE8">
        <w:rPr>
          <w:rFonts w:cs="Times New Roman"/>
          <w:sz w:val="24"/>
          <w:szCs w:val="24"/>
        </w:rPr>
        <w:t>may intersect with</w:t>
      </w:r>
      <w:r w:rsidRPr="001D140D">
        <w:rPr>
          <w:rFonts w:cs="Times New Roman"/>
          <w:sz w:val="24"/>
          <w:szCs w:val="24"/>
        </w:rPr>
        <w:t xml:space="preserve"> Indigenous experiences of the justice and carceral systems. </w:t>
      </w:r>
    </w:p>
    <w:p w14:paraId="42A1AF86" w14:textId="4DBCEC21" w:rsidR="00D37A7D" w:rsidRPr="001D140D" w:rsidRDefault="006257C2" w:rsidP="001D140D">
      <w:pPr>
        <w:spacing w:line="360" w:lineRule="auto"/>
        <w:rPr>
          <w:rFonts w:cs="Times New Roman"/>
          <w:sz w:val="24"/>
          <w:szCs w:val="24"/>
        </w:rPr>
      </w:pPr>
      <w:r w:rsidRPr="001D140D">
        <w:rPr>
          <w:rFonts w:cs="Times New Roman"/>
          <w:sz w:val="24"/>
          <w:szCs w:val="24"/>
        </w:rPr>
        <w:t>While discuss</w:t>
      </w:r>
      <w:r w:rsidR="00744CE8">
        <w:rPr>
          <w:rFonts w:cs="Times New Roman"/>
          <w:sz w:val="24"/>
          <w:szCs w:val="24"/>
        </w:rPr>
        <w:t>ing</w:t>
      </w:r>
      <w:r w:rsidRPr="001D140D">
        <w:rPr>
          <w:rFonts w:cs="Times New Roman"/>
          <w:sz w:val="24"/>
          <w:szCs w:val="24"/>
        </w:rPr>
        <w:t xml:space="preserve"> evidence and Indigenous law from the perspective of </w:t>
      </w:r>
      <w:r w:rsidR="00593028">
        <w:rPr>
          <w:rFonts w:cs="Times New Roman"/>
          <w:sz w:val="24"/>
          <w:szCs w:val="24"/>
        </w:rPr>
        <w:t xml:space="preserve">criminal </w:t>
      </w:r>
      <w:r w:rsidRPr="001D140D">
        <w:rPr>
          <w:rFonts w:cs="Times New Roman"/>
          <w:sz w:val="24"/>
          <w:szCs w:val="24"/>
        </w:rPr>
        <w:t xml:space="preserve">proceedings, </w:t>
      </w:r>
      <w:proofErr w:type="spellStart"/>
      <w:r w:rsidR="00744CE8">
        <w:rPr>
          <w:rFonts w:cs="Times New Roman"/>
          <w:sz w:val="24"/>
          <w:szCs w:val="24"/>
        </w:rPr>
        <w:t>Biber</w:t>
      </w:r>
      <w:proofErr w:type="spellEnd"/>
      <w:r w:rsidR="003C1C9F" w:rsidRPr="001D140D">
        <w:rPr>
          <w:rFonts w:cs="Times New Roman"/>
          <w:sz w:val="24"/>
          <w:szCs w:val="24"/>
        </w:rPr>
        <w:t xml:space="preserve"> outline</w:t>
      </w:r>
      <w:r w:rsidR="00744CE8">
        <w:rPr>
          <w:rFonts w:cs="Times New Roman"/>
          <w:sz w:val="24"/>
          <w:szCs w:val="24"/>
        </w:rPr>
        <w:t>s</w:t>
      </w:r>
      <w:r w:rsidR="003C1C9F" w:rsidRPr="001D140D">
        <w:rPr>
          <w:rFonts w:cs="Times New Roman"/>
          <w:sz w:val="24"/>
          <w:szCs w:val="24"/>
        </w:rPr>
        <w:t xml:space="preserve"> several factors in the questioning of Indigenous witnesses that have relevance for committee inquiries.</w:t>
      </w:r>
      <w:r w:rsidR="00D37A7D" w:rsidRPr="001D140D">
        <w:rPr>
          <w:rFonts w:cs="Times New Roman"/>
          <w:sz w:val="24"/>
          <w:szCs w:val="24"/>
        </w:rPr>
        <w:t xml:space="preserve"> </w:t>
      </w:r>
      <w:r w:rsidR="00744CE8">
        <w:rPr>
          <w:rFonts w:cs="Times New Roman"/>
          <w:sz w:val="24"/>
          <w:szCs w:val="24"/>
        </w:rPr>
        <w:t>I</w:t>
      </w:r>
      <w:r w:rsidR="00D37A7D" w:rsidRPr="001D140D">
        <w:rPr>
          <w:rFonts w:cs="Times New Roman"/>
          <w:sz w:val="24"/>
          <w:szCs w:val="24"/>
        </w:rPr>
        <w:t>n Indigenous culture and custom, 'silence may be a meaningful response to a question</w:t>
      </w:r>
      <w:proofErr w:type="gramStart"/>
      <w:r w:rsidR="00D37A7D" w:rsidRPr="001D140D">
        <w:rPr>
          <w:rFonts w:cs="Times New Roman"/>
          <w:sz w:val="24"/>
          <w:szCs w:val="24"/>
        </w:rPr>
        <w:t>'  and</w:t>
      </w:r>
      <w:proofErr w:type="gramEnd"/>
      <w:r w:rsidR="00D37A7D" w:rsidRPr="001D140D">
        <w:rPr>
          <w:rFonts w:cs="Times New Roman"/>
          <w:sz w:val="24"/>
          <w:szCs w:val="24"/>
        </w:rPr>
        <w:t xml:space="preserve"> 'what is deemed to be legally "relevant" to the court may be deemed "private" or "secret" in Indigenous culture'.</w:t>
      </w:r>
      <w:r w:rsidR="00D37A7D" w:rsidRPr="001D140D">
        <w:rPr>
          <w:rStyle w:val="FootnoteReference"/>
          <w:rFonts w:cs="Times New Roman"/>
          <w:sz w:val="24"/>
          <w:szCs w:val="24"/>
        </w:rPr>
        <w:footnoteReference w:id="15"/>
      </w:r>
      <w:r w:rsidR="00D37A7D" w:rsidRPr="001D140D">
        <w:rPr>
          <w:rFonts w:cs="Times New Roman"/>
          <w:sz w:val="24"/>
          <w:szCs w:val="24"/>
        </w:rPr>
        <w:t xml:space="preserve"> The formal power of a committee to call for evidence, </w:t>
      </w:r>
      <w:r w:rsidR="001D140D">
        <w:rPr>
          <w:rFonts w:cs="Times New Roman"/>
          <w:sz w:val="24"/>
          <w:szCs w:val="24"/>
        </w:rPr>
        <w:t>and related</w:t>
      </w:r>
      <w:r w:rsidR="00D37A7D" w:rsidRPr="001D140D">
        <w:rPr>
          <w:rFonts w:cs="Times New Roman"/>
          <w:sz w:val="24"/>
          <w:szCs w:val="24"/>
        </w:rPr>
        <w:t xml:space="preserve"> penalties for refusing to answer questions asked by a committee, could conflict with </w:t>
      </w:r>
      <w:r w:rsidR="00593028">
        <w:rPr>
          <w:rFonts w:cs="Times New Roman"/>
          <w:sz w:val="24"/>
          <w:szCs w:val="24"/>
        </w:rPr>
        <w:t>a community elder's</w:t>
      </w:r>
      <w:r w:rsidR="00D37A7D" w:rsidRPr="001D140D">
        <w:rPr>
          <w:rFonts w:cs="Times New Roman"/>
          <w:sz w:val="24"/>
          <w:szCs w:val="24"/>
        </w:rPr>
        <w:t xml:space="preserve"> </w:t>
      </w:r>
      <w:r w:rsidR="001D140D">
        <w:rPr>
          <w:rFonts w:cs="Times New Roman"/>
          <w:sz w:val="24"/>
          <w:szCs w:val="24"/>
        </w:rPr>
        <w:t xml:space="preserve">responsibilities to protect </w:t>
      </w:r>
      <w:r w:rsidR="00D37A7D" w:rsidRPr="001D140D">
        <w:rPr>
          <w:rFonts w:cs="Times New Roman"/>
          <w:sz w:val="24"/>
          <w:szCs w:val="24"/>
        </w:rPr>
        <w:t xml:space="preserve">privileged or </w:t>
      </w:r>
      <w:r w:rsidR="00593028">
        <w:rPr>
          <w:rFonts w:cs="Times New Roman"/>
          <w:sz w:val="24"/>
          <w:szCs w:val="24"/>
        </w:rPr>
        <w:t>withheld</w:t>
      </w:r>
      <w:r w:rsidR="00D37A7D" w:rsidRPr="001D140D">
        <w:rPr>
          <w:rFonts w:cs="Times New Roman"/>
          <w:sz w:val="24"/>
          <w:szCs w:val="24"/>
        </w:rPr>
        <w:t xml:space="preserve"> knowledge. </w:t>
      </w:r>
    </w:p>
    <w:p w14:paraId="44A3EDAD" w14:textId="3072C0CB" w:rsidR="003C1C9F" w:rsidRDefault="00593028" w:rsidP="001D140D">
      <w:pPr>
        <w:spacing w:line="360" w:lineRule="auto"/>
        <w:rPr>
          <w:rFonts w:cs="Times New Roman"/>
          <w:sz w:val="24"/>
          <w:szCs w:val="24"/>
        </w:rPr>
      </w:pPr>
      <w:r>
        <w:rPr>
          <w:rFonts w:cs="Times New Roman"/>
          <w:sz w:val="24"/>
          <w:szCs w:val="24"/>
        </w:rPr>
        <w:t>R</w:t>
      </w:r>
      <w:r w:rsidR="003C1C9F" w:rsidRPr="001D140D">
        <w:rPr>
          <w:rFonts w:cs="Times New Roman"/>
          <w:sz w:val="24"/>
          <w:szCs w:val="24"/>
        </w:rPr>
        <w:t>equirement</w:t>
      </w:r>
      <w:r w:rsidR="00744CE8">
        <w:rPr>
          <w:rFonts w:cs="Times New Roman"/>
          <w:sz w:val="24"/>
          <w:szCs w:val="24"/>
        </w:rPr>
        <w:t>s</w:t>
      </w:r>
      <w:r w:rsidR="003C1C9F" w:rsidRPr="001D140D">
        <w:rPr>
          <w:rFonts w:cs="Times New Roman"/>
          <w:sz w:val="24"/>
          <w:szCs w:val="24"/>
        </w:rPr>
        <w:t xml:space="preserve"> that </w:t>
      </w:r>
      <w:proofErr w:type="gramStart"/>
      <w:r w:rsidR="003C1C9F" w:rsidRPr="001D140D">
        <w:rPr>
          <w:rFonts w:cs="Times New Roman"/>
          <w:sz w:val="24"/>
          <w:szCs w:val="24"/>
        </w:rPr>
        <w:t>witnesses</w:t>
      </w:r>
      <w:proofErr w:type="gramEnd"/>
      <w:r w:rsidR="003C1C9F" w:rsidRPr="001D140D">
        <w:rPr>
          <w:rFonts w:cs="Times New Roman"/>
          <w:sz w:val="24"/>
          <w:szCs w:val="24"/>
        </w:rPr>
        <w:t xml:space="preserve"> swear an oath or make an affirmation before giving evidence may</w:t>
      </w:r>
      <w:r w:rsidR="00D37A7D" w:rsidRPr="001D140D">
        <w:rPr>
          <w:rFonts w:cs="Times New Roman"/>
          <w:sz w:val="24"/>
          <w:szCs w:val="24"/>
        </w:rPr>
        <w:t xml:space="preserve"> </w:t>
      </w:r>
      <w:r w:rsidR="001D140D">
        <w:rPr>
          <w:rFonts w:cs="Times New Roman"/>
          <w:sz w:val="24"/>
          <w:szCs w:val="24"/>
        </w:rPr>
        <w:t xml:space="preserve">also </w:t>
      </w:r>
      <w:r w:rsidR="00744CE8">
        <w:rPr>
          <w:rFonts w:cs="Times New Roman"/>
          <w:sz w:val="24"/>
          <w:szCs w:val="24"/>
        </w:rPr>
        <w:t xml:space="preserve">be uncomfortable </w:t>
      </w:r>
      <w:r w:rsidR="00D37A7D" w:rsidRPr="001D140D">
        <w:rPr>
          <w:rFonts w:cs="Times New Roman"/>
          <w:sz w:val="24"/>
          <w:szCs w:val="24"/>
        </w:rPr>
        <w:t xml:space="preserve">for </w:t>
      </w:r>
      <w:r w:rsidR="003C1C9F" w:rsidRPr="001D140D">
        <w:rPr>
          <w:rFonts w:cs="Times New Roman"/>
          <w:sz w:val="24"/>
          <w:szCs w:val="24"/>
        </w:rPr>
        <w:t>Indigenous witnesses</w:t>
      </w:r>
      <w:r>
        <w:rPr>
          <w:rFonts w:cs="Times New Roman"/>
          <w:sz w:val="24"/>
          <w:szCs w:val="24"/>
        </w:rPr>
        <w:t xml:space="preserve">. </w:t>
      </w:r>
      <w:r w:rsidRPr="001D140D">
        <w:rPr>
          <w:rFonts w:cs="Times New Roman"/>
          <w:sz w:val="24"/>
          <w:szCs w:val="24"/>
        </w:rPr>
        <w:t>In light of Indigenous over-representation</w:t>
      </w:r>
      <w:r>
        <w:rPr>
          <w:rFonts w:cs="Times New Roman"/>
          <w:sz w:val="24"/>
          <w:szCs w:val="24"/>
        </w:rPr>
        <w:t xml:space="preserve"> </w:t>
      </w:r>
      <w:r w:rsidRPr="001D140D">
        <w:rPr>
          <w:rFonts w:cs="Times New Roman"/>
          <w:sz w:val="24"/>
          <w:szCs w:val="24"/>
        </w:rPr>
        <w:t xml:space="preserve">in the justice system, </w:t>
      </w:r>
      <w:r>
        <w:rPr>
          <w:rFonts w:cs="Times New Roman"/>
          <w:sz w:val="24"/>
          <w:szCs w:val="24"/>
        </w:rPr>
        <w:t xml:space="preserve">inquiry witnesses may have had lived experience of </w:t>
      </w:r>
      <w:r w:rsidR="003C1C9F" w:rsidRPr="001D140D">
        <w:rPr>
          <w:rFonts w:cs="Times New Roman"/>
          <w:sz w:val="24"/>
          <w:szCs w:val="24"/>
        </w:rPr>
        <w:t xml:space="preserve">court proceedings and </w:t>
      </w:r>
      <w:r>
        <w:rPr>
          <w:rFonts w:cs="Times New Roman"/>
          <w:sz w:val="24"/>
          <w:szCs w:val="24"/>
        </w:rPr>
        <w:t xml:space="preserve">been </w:t>
      </w:r>
      <w:r w:rsidR="003C1C9F" w:rsidRPr="001D140D">
        <w:rPr>
          <w:rFonts w:cs="Times New Roman"/>
          <w:sz w:val="24"/>
          <w:szCs w:val="24"/>
        </w:rPr>
        <w:t xml:space="preserve">subject to cross-examination. </w:t>
      </w:r>
      <w:r>
        <w:rPr>
          <w:rFonts w:cs="Times New Roman"/>
          <w:sz w:val="24"/>
          <w:szCs w:val="24"/>
        </w:rPr>
        <w:t>F</w:t>
      </w:r>
      <w:r w:rsidR="00D37A7D" w:rsidRPr="001D140D">
        <w:rPr>
          <w:rFonts w:cs="Times New Roman"/>
          <w:sz w:val="24"/>
          <w:szCs w:val="24"/>
        </w:rPr>
        <w:t xml:space="preserve">or Indigenous stakeholders to have greater input in committee proceedings, consideration of less formal means of evidence gathering would be advantageous – particularly for increasing the participation of lay </w:t>
      </w:r>
      <w:r w:rsidR="00744CE8">
        <w:rPr>
          <w:rFonts w:cs="Times New Roman"/>
          <w:sz w:val="24"/>
          <w:szCs w:val="24"/>
        </w:rPr>
        <w:t>citizens</w:t>
      </w:r>
      <w:r w:rsidR="00D37A7D" w:rsidRPr="001D140D">
        <w:rPr>
          <w:rFonts w:cs="Times New Roman"/>
          <w:sz w:val="24"/>
          <w:szCs w:val="24"/>
        </w:rPr>
        <w:t xml:space="preserve">, rather than relying </w:t>
      </w:r>
      <w:r w:rsidR="00D37A7D" w:rsidRPr="001D140D">
        <w:rPr>
          <w:rFonts w:cs="Times New Roman"/>
          <w:sz w:val="24"/>
          <w:szCs w:val="24"/>
        </w:rPr>
        <w:lastRenderedPageBreak/>
        <w:t>on civil society groups that are not necessarily representative of Indigenous community interests.</w:t>
      </w:r>
    </w:p>
    <w:p w14:paraId="0869A99F" w14:textId="5AC639F3" w:rsidR="001D140D" w:rsidRPr="001D140D" w:rsidRDefault="001D140D" w:rsidP="001D140D">
      <w:pPr>
        <w:spacing w:line="360" w:lineRule="auto"/>
        <w:jc w:val="center"/>
        <w:rPr>
          <w:rFonts w:cs="Times New Roman"/>
          <w:i/>
          <w:iCs/>
          <w:sz w:val="24"/>
          <w:szCs w:val="24"/>
        </w:rPr>
      </w:pPr>
      <w:r>
        <w:rPr>
          <w:rFonts w:cs="Times New Roman"/>
          <w:sz w:val="24"/>
          <w:szCs w:val="24"/>
        </w:rPr>
        <w:t xml:space="preserve">C. </w:t>
      </w:r>
      <w:r>
        <w:rPr>
          <w:rFonts w:cs="Times New Roman"/>
          <w:i/>
          <w:iCs/>
          <w:sz w:val="24"/>
          <w:szCs w:val="24"/>
        </w:rPr>
        <w:t>Academic Material as Informal Evidence</w:t>
      </w:r>
    </w:p>
    <w:p w14:paraId="3709381C" w14:textId="530F292D" w:rsidR="00D37A7D" w:rsidRPr="001D140D" w:rsidRDefault="00D37A7D" w:rsidP="001D140D">
      <w:pPr>
        <w:spacing w:line="360" w:lineRule="auto"/>
        <w:rPr>
          <w:rFonts w:cs="Times New Roman"/>
          <w:sz w:val="24"/>
          <w:szCs w:val="24"/>
        </w:rPr>
      </w:pPr>
      <w:r w:rsidRPr="001D140D">
        <w:rPr>
          <w:rFonts w:cs="Times New Roman"/>
          <w:sz w:val="24"/>
          <w:szCs w:val="24"/>
        </w:rPr>
        <w:t xml:space="preserve">If "informal evidence" is defined as inquiry evidence that has been gathered outside of the formalised and entrenched practices of parliamentary committees, where does that leave academic material? Without </w:t>
      </w:r>
      <w:r w:rsidR="00744CE8">
        <w:rPr>
          <w:rFonts w:cs="Times New Roman"/>
          <w:sz w:val="24"/>
          <w:szCs w:val="24"/>
        </w:rPr>
        <w:t xml:space="preserve">delving too deeply into the broader epistemology of evidence and the validity of competing truth claims, </w:t>
      </w:r>
      <w:r w:rsidRPr="001D140D">
        <w:rPr>
          <w:rFonts w:cs="Times New Roman"/>
          <w:sz w:val="24"/>
          <w:szCs w:val="24"/>
        </w:rPr>
        <w:t xml:space="preserve">the ideal </w:t>
      </w:r>
      <w:r w:rsidR="00744CE8">
        <w:rPr>
          <w:rFonts w:cs="Times New Roman"/>
          <w:sz w:val="24"/>
          <w:szCs w:val="24"/>
        </w:rPr>
        <w:t>evidence base</w:t>
      </w:r>
      <w:r w:rsidRPr="001D140D">
        <w:rPr>
          <w:rFonts w:cs="Times New Roman"/>
          <w:sz w:val="24"/>
          <w:szCs w:val="24"/>
        </w:rPr>
        <w:t xml:space="preserve"> for an inquiry might </w:t>
      </w:r>
      <w:r w:rsidR="00744CE8">
        <w:rPr>
          <w:rFonts w:cs="Times New Roman"/>
          <w:sz w:val="24"/>
          <w:szCs w:val="24"/>
        </w:rPr>
        <w:t xml:space="preserve">include </w:t>
      </w:r>
      <w:r w:rsidR="00593028">
        <w:rPr>
          <w:rFonts w:cs="Times New Roman"/>
          <w:sz w:val="24"/>
          <w:szCs w:val="24"/>
        </w:rPr>
        <w:t>adequate</w:t>
      </w:r>
      <w:r w:rsidRPr="001D140D">
        <w:rPr>
          <w:rFonts w:cs="Times New Roman"/>
          <w:sz w:val="24"/>
          <w:szCs w:val="24"/>
        </w:rPr>
        <w:t xml:space="preserve"> written and oral evidence </w:t>
      </w:r>
      <w:r w:rsidR="00744CE8">
        <w:rPr>
          <w:rFonts w:cs="Times New Roman"/>
          <w:sz w:val="24"/>
          <w:szCs w:val="24"/>
        </w:rPr>
        <w:t xml:space="preserve">from </w:t>
      </w:r>
      <w:r w:rsidRPr="001D140D">
        <w:rPr>
          <w:rFonts w:cs="Times New Roman"/>
          <w:sz w:val="24"/>
          <w:szCs w:val="24"/>
        </w:rPr>
        <w:t xml:space="preserve">researchers with expertise germane to the inquiry's terms of reference. This evidence would </w:t>
      </w:r>
      <w:r w:rsidR="00744CE8">
        <w:rPr>
          <w:rFonts w:cs="Times New Roman"/>
          <w:sz w:val="24"/>
          <w:szCs w:val="24"/>
        </w:rPr>
        <w:t xml:space="preserve">commonly </w:t>
      </w:r>
      <w:r w:rsidRPr="001D140D">
        <w:rPr>
          <w:rFonts w:cs="Times New Roman"/>
          <w:sz w:val="24"/>
          <w:szCs w:val="24"/>
        </w:rPr>
        <w:t>support or counter that provided by other inquiry participants, such as: those with lived or idiographic experience of a particular issue; witnesses that advocate on behalf of particular interest groups; and government witnesses with varying degrees of responsiveness and transparency in the face of committee questions.</w:t>
      </w:r>
    </w:p>
    <w:p w14:paraId="15D3233C" w14:textId="27BBDC83" w:rsidR="00F63317" w:rsidRPr="001D140D" w:rsidRDefault="00D37A7D" w:rsidP="001D140D">
      <w:pPr>
        <w:spacing w:line="360" w:lineRule="auto"/>
        <w:rPr>
          <w:rFonts w:cs="Times New Roman"/>
          <w:sz w:val="24"/>
          <w:szCs w:val="24"/>
        </w:rPr>
      </w:pPr>
      <w:r w:rsidRPr="001D140D">
        <w:rPr>
          <w:rFonts w:cs="Times New Roman"/>
          <w:sz w:val="24"/>
          <w:szCs w:val="24"/>
        </w:rPr>
        <w:t xml:space="preserve">However, fulsome academic participation in committee inquiries cannot be presumed. As noted by Ray, Young and Grant in their study on committee evidence in Australian federal parliamentary committees, evidence from academic stakeholders is likely to be less commonly </w:t>
      </w:r>
      <w:r w:rsidR="001D140D">
        <w:rPr>
          <w:rFonts w:cs="Times New Roman"/>
          <w:sz w:val="24"/>
          <w:szCs w:val="24"/>
        </w:rPr>
        <w:t xml:space="preserve">cited </w:t>
      </w:r>
      <w:r w:rsidRPr="001D140D">
        <w:rPr>
          <w:rFonts w:cs="Times New Roman"/>
          <w:sz w:val="24"/>
          <w:szCs w:val="24"/>
        </w:rPr>
        <w:t xml:space="preserve">in committee reports than evidence from government and civil society </w:t>
      </w:r>
      <w:r w:rsidR="001D140D">
        <w:rPr>
          <w:rFonts w:cs="Times New Roman"/>
          <w:sz w:val="24"/>
          <w:szCs w:val="24"/>
        </w:rPr>
        <w:t>groups</w:t>
      </w:r>
      <w:r w:rsidRPr="001D140D">
        <w:rPr>
          <w:rFonts w:cs="Times New Roman"/>
          <w:sz w:val="24"/>
          <w:szCs w:val="24"/>
        </w:rPr>
        <w:t>.</w:t>
      </w:r>
      <w:r w:rsidR="001D140D">
        <w:rPr>
          <w:rFonts w:cs="Times New Roman"/>
          <w:sz w:val="24"/>
          <w:szCs w:val="24"/>
        </w:rPr>
        <w:t xml:space="preserve"> </w:t>
      </w:r>
      <w:r w:rsidRPr="001D140D">
        <w:rPr>
          <w:rFonts w:cs="Times New Roman"/>
          <w:sz w:val="24"/>
          <w:szCs w:val="24"/>
        </w:rPr>
        <w:t>Where academic sources are used, there is a clear tendency towards written submissions or oral evidence, rather than the use of journal articles.</w:t>
      </w:r>
      <w:r w:rsidR="001D140D" w:rsidRPr="001D140D">
        <w:rPr>
          <w:rStyle w:val="FootnoteReference"/>
          <w:rFonts w:cs="Times New Roman"/>
          <w:sz w:val="24"/>
          <w:szCs w:val="24"/>
        </w:rPr>
        <w:footnoteReference w:id="16"/>
      </w:r>
      <w:r w:rsidRPr="001D140D">
        <w:rPr>
          <w:rFonts w:cs="Times New Roman"/>
          <w:sz w:val="24"/>
          <w:szCs w:val="24"/>
        </w:rPr>
        <w:t xml:space="preserve"> </w:t>
      </w:r>
      <w:r w:rsidR="00F63317" w:rsidRPr="001D140D">
        <w:rPr>
          <w:rFonts w:cs="Times New Roman"/>
          <w:sz w:val="24"/>
          <w:szCs w:val="24"/>
        </w:rPr>
        <w:t xml:space="preserve">Committees may have powers </w:t>
      </w:r>
      <w:r w:rsidR="00593028">
        <w:rPr>
          <w:rFonts w:cs="Times New Roman"/>
          <w:sz w:val="24"/>
          <w:szCs w:val="24"/>
        </w:rPr>
        <w:t>or</w:t>
      </w:r>
      <w:r w:rsidR="00F63317" w:rsidRPr="001D140D">
        <w:rPr>
          <w:rFonts w:cs="Times New Roman"/>
          <w:sz w:val="24"/>
          <w:szCs w:val="24"/>
        </w:rPr>
        <w:t xml:space="preserve"> resources to commission research papers or draw on parliamentary research services, yet this may be costly, time consuming and nonetheless external to the </w:t>
      </w:r>
      <w:r w:rsidR="00744CE8">
        <w:rPr>
          <w:rFonts w:cs="Times New Roman"/>
          <w:sz w:val="24"/>
          <w:szCs w:val="24"/>
        </w:rPr>
        <w:t>conventional</w:t>
      </w:r>
      <w:r w:rsidR="00F63317" w:rsidRPr="001D140D">
        <w:rPr>
          <w:rFonts w:cs="Times New Roman"/>
          <w:sz w:val="24"/>
          <w:szCs w:val="24"/>
        </w:rPr>
        <w:t xml:space="preserve"> evidence base of a committee inquiry. </w:t>
      </w:r>
    </w:p>
    <w:p w14:paraId="62B57BA2" w14:textId="70FEDA21" w:rsidR="00D37A7D" w:rsidRDefault="00D37A7D" w:rsidP="001D140D">
      <w:pPr>
        <w:spacing w:line="360" w:lineRule="auto"/>
        <w:rPr>
          <w:rFonts w:cs="Times New Roman"/>
          <w:sz w:val="24"/>
          <w:szCs w:val="24"/>
        </w:rPr>
      </w:pPr>
      <w:r w:rsidRPr="001D140D">
        <w:rPr>
          <w:rFonts w:cs="Times New Roman"/>
          <w:sz w:val="24"/>
          <w:szCs w:val="24"/>
        </w:rPr>
        <w:t xml:space="preserve">In order to support committee findings and recommendations using </w:t>
      </w:r>
      <w:r w:rsidR="00593028">
        <w:rPr>
          <w:rFonts w:cs="Times New Roman"/>
          <w:sz w:val="24"/>
          <w:szCs w:val="24"/>
        </w:rPr>
        <w:t xml:space="preserve">academic evidence </w:t>
      </w:r>
      <w:r w:rsidRPr="001D140D">
        <w:rPr>
          <w:rFonts w:cs="Times New Roman"/>
          <w:sz w:val="24"/>
          <w:szCs w:val="24"/>
        </w:rPr>
        <w:t>that – while also vulnerable to vested interest and personal</w:t>
      </w:r>
      <w:r w:rsidR="00744CE8">
        <w:rPr>
          <w:rFonts w:cs="Times New Roman"/>
          <w:sz w:val="24"/>
          <w:szCs w:val="24"/>
        </w:rPr>
        <w:t>, disciplinary or institutional</w:t>
      </w:r>
      <w:r w:rsidRPr="001D140D">
        <w:rPr>
          <w:rFonts w:cs="Times New Roman"/>
          <w:sz w:val="24"/>
          <w:szCs w:val="24"/>
        </w:rPr>
        <w:t xml:space="preserve"> bias</w:t>
      </w:r>
      <w:r w:rsidR="00744CE8">
        <w:rPr>
          <w:rFonts w:cs="Times New Roman"/>
          <w:sz w:val="24"/>
          <w:szCs w:val="24"/>
        </w:rPr>
        <w:t>es</w:t>
      </w:r>
      <w:r w:rsidRPr="001D140D">
        <w:rPr>
          <w:rFonts w:cs="Times New Roman"/>
          <w:sz w:val="24"/>
          <w:szCs w:val="24"/>
        </w:rPr>
        <w:t xml:space="preserve"> – are at least grounded in research-based practices and subject to peer review</w:t>
      </w:r>
      <w:r w:rsidR="00744CE8">
        <w:rPr>
          <w:rFonts w:cs="Times New Roman"/>
          <w:sz w:val="24"/>
          <w:szCs w:val="24"/>
        </w:rPr>
        <w:t xml:space="preserve"> and</w:t>
      </w:r>
      <w:r w:rsidRPr="001D140D">
        <w:rPr>
          <w:rFonts w:cs="Times New Roman"/>
          <w:sz w:val="24"/>
          <w:szCs w:val="24"/>
        </w:rPr>
        <w:t xml:space="preserve"> academic debate, committees </w:t>
      </w:r>
      <w:r w:rsidR="00593028">
        <w:rPr>
          <w:rFonts w:cs="Times New Roman"/>
          <w:sz w:val="24"/>
          <w:szCs w:val="24"/>
        </w:rPr>
        <w:t>could</w:t>
      </w:r>
      <w:r w:rsidRPr="001D140D">
        <w:rPr>
          <w:rFonts w:cs="Times New Roman"/>
          <w:sz w:val="24"/>
          <w:szCs w:val="24"/>
        </w:rPr>
        <w:t xml:space="preserve"> consider using academic material that has been sourced and collated outside of formal evidence gathering powers and practices.</w:t>
      </w:r>
    </w:p>
    <w:p w14:paraId="7C0315A7" w14:textId="77777777" w:rsidR="00593028" w:rsidRPr="001D140D" w:rsidRDefault="00593028" w:rsidP="001D140D">
      <w:pPr>
        <w:spacing w:line="360" w:lineRule="auto"/>
        <w:rPr>
          <w:rFonts w:cs="Times New Roman"/>
          <w:sz w:val="24"/>
          <w:szCs w:val="24"/>
        </w:rPr>
      </w:pPr>
    </w:p>
    <w:p w14:paraId="2D8AAB2A" w14:textId="74F8C020" w:rsidR="006257C2" w:rsidRPr="001D140D" w:rsidRDefault="001D140D" w:rsidP="001D140D">
      <w:pPr>
        <w:spacing w:line="360" w:lineRule="auto"/>
        <w:jc w:val="center"/>
        <w:rPr>
          <w:rFonts w:cs="Times New Roman"/>
          <w:b/>
          <w:bCs/>
          <w:caps/>
          <w:sz w:val="24"/>
          <w:szCs w:val="24"/>
        </w:rPr>
      </w:pPr>
      <w:r>
        <w:rPr>
          <w:rFonts w:cs="Times New Roman"/>
          <w:b/>
          <w:bCs/>
          <w:sz w:val="24"/>
          <w:szCs w:val="24"/>
        </w:rPr>
        <w:t xml:space="preserve">4. </w:t>
      </w:r>
      <w:r w:rsidR="001931BD" w:rsidRPr="001D140D">
        <w:rPr>
          <w:rFonts w:cs="Times New Roman"/>
          <w:b/>
          <w:bCs/>
          <w:caps/>
          <w:sz w:val="24"/>
          <w:szCs w:val="24"/>
        </w:rPr>
        <w:t>U</w:t>
      </w:r>
      <w:r w:rsidR="00574E4B" w:rsidRPr="001D140D">
        <w:rPr>
          <w:rFonts w:cs="Times New Roman"/>
          <w:b/>
          <w:bCs/>
          <w:caps/>
          <w:sz w:val="24"/>
          <w:szCs w:val="24"/>
        </w:rPr>
        <w:t>sing informal evidence</w:t>
      </w:r>
      <w:r w:rsidR="001931BD" w:rsidRPr="001D140D">
        <w:rPr>
          <w:rFonts w:cs="Times New Roman"/>
          <w:b/>
          <w:bCs/>
          <w:caps/>
          <w:sz w:val="24"/>
          <w:szCs w:val="24"/>
        </w:rPr>
        <w:t xml:space="preserve">: </w:t>
      </w:r>
      <w:r w:rsidR="00744CE8">
        <w:rPr>
          <w:rFonts w:cs="Times New Roman"/>
          <w:b/>
          <w:bCs/>
          <w:caps/>
          <w:sz w:val="24"/>
          <w:szCs w:val="24"/>
        </w:rPr>
        <w:t>CHALLENGES</w:t>
      </w:r>
      <w:r w:rsidR="001931BD" w:rsidRPr="001D140D">
        <w:rPr>
          <w:rFonts w:cs="Times New Roman"/>
          <w:b/>
          <w:bCs/>
          <w:caps/>
          <w:sz w:val="24"/>
          <w:szCs w:val="24"/>
        </w:rPr>
        <w:t xml:space="preserve"> and </w:t>
      </w:r>
      <w:r>
        <w:rPr>
          <w:rFonts w:cs="Times New Roman"/>
          <w:b/>
          <w:bCs/>
          <w:caps/>
          <w:sz w:val="24"/>
          <w:szCs w:val="24"/>
        </w:rPr>
        <w:t>strategies</w:t>
      </w:r>
    </w:p>
    <w:p w14:paraId="432321EE" w14:textId="047C0D8F" w:rsidR="00593028" w:rsidRDefault="00574E4B" w:rsidP="001D140D">
      <w:pPr>
        <w:spacing w:line="360" w:lineRule="auto"/>
        <w:rPr>
          <w:rFonts w:cs="Times New Roman"/>
          <w:sz w:val="24"/>
          <w:szCs w:val="24"/>
        </w:rPr>
      </w:pPr>
      <w:r w:rsidRPr="001D140D">
        <w:rPr>
          <w:rFonts w:cs="Times New Roman"/>
          <w:sz w:val="24"/>
          <w:szCs w:val="24"/>
        </w:rPr>
        <w:t xml:space="preserve">This section explores several strategies for how informal evidence could be used more frequently by committees. These include committee staff </w:t>
      </w:r>
      <w:r w:rsidR="001D140D" w:rsidRPr="001D140D">
        <w:rPr>
          <w:rFonts w:cs="Times New Roman"/>
          <w:sz w:val="24"/>
          <w:szCs w:val="24"/>
        </w:rPr>
        <w:t>preparing</w:t>
      </w:r>
      <w:r w:rsidRPr="001D140D">
        <w:rPr>
          <w:rFonts w:cs="Times New Roman"/>
          <w:sz w:val="24"/>
          <w:szCs w:val="24"/>
        </w:rPr>
        <w:t xml:space="preserve"> guidance to members </w:t>
      </w:r>
      <w:r w:rsidR="00593028">
        <w:rPr>
          <w:rFonts w:cs="Times New Roman"/>
          <w:sz w:val="24"/>
          <w:szCs w:val="24"/>
        </w:rPr>
        <w:t xml:space="preserve">on </w:t>
      </w:r>
      <w:r w:rsidR="00593028">
        <w:rPr>
          <w:rFonts w:cs="Times New Roman"/>
          <w:sz w:val="24"/>
          <w:szCs w:val="24"/>
        </w:rPr>
        <w:lastRenderedPageBreak/>
        <w:t xml:space="preserve">whether </w:t>
      </w:r>
      <w:r w:rsidRPr="001D140D">
        <w:rPr>
          <w:rFonts w:cs="Times New Roman"/>
          <w:sz w:val="24"/>
          <w:szCs w:val="24"/>
        </w:rPr>
        <w:t xml:space="preserve">informal evidence </w:t>
      </w:r>
      <w:r w:rsidR="00593028">
        <w:rPr>
          <w:rFonts w:cs="Times New Roman"/>
          <w:sz w:val="24"/>
          <w:szCs w:val="24"/>
        </w:rPr>
        <w:t>is</w:t>
      </w:r>
      <w:r w:rsidRPr="001D140D">
        <w:rPr>
          <w:rFonts w:cs="Times New Roman"/>
          <w:sz w:val="24"/>
          <w:szCs w:val="24"/>
        </w:rPr>
        <w:t xml:space="preserve"> protected by parliamentary privilege</w:t>
      </w:r>
      <w:r w:rsidR="001D140D" w:rsidRPr="001D140D">
        <w:rPr>
          <w:rFonts w:cs="Times New Roman"/>
          <w:sz w:val="24"/>
          <w:szCs w:val="24"/>
        </w:rPr>
        <w:t>,</w:t>
      </w:r>
      <w:r w:rsidRPr="001D140D">
        <w:rPr>
          <w:rFonts w:cs="Times New Roman"/>
          <w:sz w:val="24"/>
          <w:szCs w:val="24"/>
        </w:rPr>
        <w:t xml:space="preserve"> </w:t>
      </w:r>
      <w:r w:rsidR="001D140D" w:rsidRPr="001D140D">
        <w:rPr>
          <w:rFonts w:cs="Times New Roman"/>
          <w:sz w:val="24"/>
          <w:szCs w:val="24"/>
        </w:rPr>
        <w:t xml:space="preserve">in addition to </w:t>
      </w:r>
      <w:r w:rsidRPr="001D140D">
        <w:rPr>
          <w:rFonts w:cs="Times New Roman"/>
          <w:sz w:val="24"/>
          <w:szCs w:val="24"/>
        </w:rPr>
        <w:t xml:space="preserve">minimising </w:t>
      </w:r>
      <w:r w:rsidR="00744CE8">
        <w:rPr>
          <w:rFonts w:cs="Times New Roman"/>
          <w:sz w:val="24"/>
          <w:szCs w:val="24"/>
        </w:rPr>
        <w:t xml:space="preserve">the </w:t>
      </w:r>
      <w:r w:rsidRPr="001D140D">
        <w:rPr>
          <w:rFonts w:cs="Times New Roman"/>
          <w:sz w:val="24"/>
          <w:szCs w:val="24"/>
        </w:rPr>
        <w:t xml:space="preserve">risk of </w:t>
      </w:r>
      <w:r w:rsidR="00744CE8">
        <w:rPr>
          <w:rFonts w:cs="Times New Roman"/>
          <w:sz w:val="24"/>
          <w:szCs w:val="24"/>
        </w:rPr>
        <w:t xml:space="preserve">publishing </w:t>
      </w:r>
      <w:r w:rsidRPr="001D140D">
        <w:rPr>
          <w:rFonts w:cs="Times New Roman"/>
          <w:sz w:val="24"/>
          <w:szCs w:val="24"/>
        </w:rPr>
        <w:t xml:space="preserve">informal evidence </w:t>
      </w:r>
      <w:r w:rsidR="001D140D" w:rsidRPr="001D140D">
        <w:rPr>
          <w:rFonts w:cs="Times New Roman"/>
          <w:sz w:val="24"/>
          <w:szCs w:val="24"/>
        </w:rPr>
        <w:t xml:space="preserve">that </w:t>
      </w:r>
      <w:r w:rsidRPr="001D140D">
        <w:rPr>
          <w:rFonts w:cs="Times New Roman"/>
          <w:sz w:val="24"/>
          <w:szCs w:val="24"/>
        </w:rPr>
        <w:t>contain</w:t>
      </w:r>
      <w:r w:rsidR="001D140D" w:rsidRPr="001D140D">
        <w:rPr>
          <w:rFonts w:cs="Times New Roman"/>
          <w:sz w:val="24"/>
          <w:szCs w:val="24"/>
        </w:rPr>
        <w:t>s</w:t>
      </w:r>
      <w:r w:rsidRPr="001D140D">
        <w:rPr>
          <w:rFonts w:cs="Times New Roman"/>
          <w:sz w:val="24"/>
          <w:szCs w:val="24"/>
        </w:rPr>
        <w:t xml:space="preserve"> defamatory </w:t>
      </w:r>
      <w:r w:rsidR="001D140D" w:rsidRPr="001D140D">
        <w:rPr>
          <w:rFonts w:cs="Times New Roman"/>
          <w:sz w:val="24"/>
          <w:szCs w:val="24"/>
        </w:rPr>
        <w:t>content</w:t>
      </w:r>
      <w:r w:rsidRPr="001D140D">
        <w:rPr>
          <w:rFonts w:cs="Times New Roman"/>
          <w:sz w:val="24"/>
          <w:szCs w:val="24"/>
        </w:rPr>
        <w:t>.</w:t>
      </w:r>
    </w:p>
    <w:p w14:paraId="2620D81B" w14:textId="77777777" w:rsidR="00593028" w:rsidRDefault="00593028" w:rsidP="001D140D">
      <w:pPr>
        <w:spacing w:line="360" w:lineRule="auto"/>
        <w:rPr>
          <w:rFonts w:cs="Times New Roman"/>
          <w:sz w:val="24"/>
          <w:szCs w:val="24"/>
        </w:rPr>
      </w:pPr>
    </w:p>
    <w:p w14:paraId="03547AB2" w14:textId="349D738F" w:rsidR="001D140D" w:rsidRPr="001D140D" w:rsidRDefault="001D140D" w:rsidP="001D140D">
      <w:pPr>
        <w:spacing w:line="360" w:lineRule="auto"/>
        <w:jc w:val="center"/>
        <w:rPr>
          <w:rFonts w:cs="Times New Roman"/>
          <w:i/>
          <w:iCs/>
          <w:sz w:val="24"/>
          <w:szCs w:val="24"/>
        </w:rPr>
      </w:pPr>
      <w:r w:rsidRPr="001D140D">
        <w:rPr>
          <w:rFonts w:cs="Times New Roman"/>
          <w:i/>
          <w:iCs/>
          <w:sz w:val="24"/>
          <w:szCs w:val="24"/>
        </w:rPr>
        <w:t>A. Informal Evidence and Parliamentary Privilege</w:t>
      </w:r>
    </w:p>
    <w:p w14:paraId="461F4260" w14:textId="77777777" w:rsidR="00744CE8" w:rsidRDefault="005212B8" w:rsidP="001D140D">
      <w:pPr>
        <w:spacing w:line="360" w:lineRule="auto"/>
        <w:rPr>
          <w:rFonts w:cs="Times New Roman"/>
          <w:sz w:val="24"/>
          <w:szCs w:val="24"/>
        </w:rPr>
      </w:pPr>
      <w:r w:rsidRPr="001D140D">
        <w:rPr>
          <w:rFonts w:cs="Times New Roman"/>
          <w:sz w:val="24"/>
          <w:szCs w:val="24"/>
        </w:rPr>
        <w:t>Whether</w:t>
      </w:r>
      <w:r w:rsidR="008B0AA6" w:rsidRPr="001D140D">
        <w:rPr>
          <w:rFonts w:cs="Times New Roman"/>
          <w:sz w:val="24"/>
          <w:szCs w:val="24"/>
        </w:rPr>
        <w:t xml:space="preserve"> </w:t>
      </w:r>
      <w:r w:rsidR="001D140D" w:rsidRPr="001D140D">
        <w:rPr>
          <w:rFonts w:cs="Times New Roman"/>
          <w:sz w:val="24"/>
          <w:szCs w:val="24"/>
        </w:rPr>
        <w:t xml:space="preserve">published </w:t>
      </w:r>
      <w:r w:rsidR="008B0AA6" w:rsidRPr="001D140D">
        <w:rPr>
          <w:rFonts w:cs="Times New Roman"/>
          <w:sz w:val="24"/>
          <w:szCs w:val="24"/>
        </w:rPr>
        <w:t xml:space="preserve">informal </w:t>
      </w:r>
      <w:r w:rsidR="001931BD" w:rsidRPr="001D140D">
        <w:rPr>
          <w:rFonts w:cs="Times New Roman"/>
          <w:sz w:val="24"/>
          <w:szCs w:val="24"/>
        </w:rPr>
        <w:t xml:space="preserve">evidence is </w:t>
      </w:r>
      <w:r w:rsidR="008B0AA6" w:rsidRPr="001D140D">
        <w:rPr>
          <w:rFonts w:cs="Times New Roman"/>
          <w:sz w:val="24"/>
          <w:szCs w:val="24"/>
        </w:rPr>
        <w:t xml:space="preserve">protected by parliamentary privilege </w:t>
      </w:r>
      <w:r w:rsidR="001931BD" w:rsidRPr="001D140D">
        <w:rPr>
          <w:rFonts w:cs="Times New Roman"/>
          <w:sz w:val="24"/>
          <w:szCs w:val="24"/>
        </w:rPr>
        <w:t>is an important consideration, particularly if such evidence has been given by</w:t>
      </w:r>
      <w:r w:rsidRPr="001D140D">
        <w:rPr>
          <w:rFonts w:cs="Times New Roman"/>
          <w:sz w:val="24"/>
          <w:szCs w:val="24"/>
        </w:rPr>
        <w:t xml:space="preserve"> vulnerable stakeholders. </w:t>
      </w:r>
      <w:r w:rsidR="001D140D" w:rsidRPr="001D140D">
        <w:rPr>
          <w:rFonts w:cs="Times New Roman"/>
          <w:sz w:val="24"/>
          <w:szCs w:val="24"/>
        </w:rPr>
        <w:t xml:space="preserve">While the account that follows is only a brief exploration of the complexities of parliamentary privilege, it is likely that informal evidence would be privileged in particular circumstances. </w:t>
      </w:r>
      <w:r w:rsidR="001931BD" w:rsidRPr="001D140D">
        <w:rPr>
          <w:rFonts w:cs="Times New Roman"/>
          <w:sz w:val="24"/>
          <w:szCs w:val="24"/>
        </w:rPr>
        <w:t xml:space="preserve">Article 9 of the </w:t>
      </w:r>
      <w:r w:rsidR="001931BD" w:rsidRPr="001D140D">
        <w:rPr>
          <w:rFonts w:cs="Times New Roman"/>
          <w:i/>
          <w:iCs/>
          <w:sz w:val="24"/>
          <w:szCs w:val="24"/>
        </w:rPr>
        <w:t xml:space="preserve">Bill of Rights Act 1688 </w:t>
      </w:r>
      <w:r w:rsidR="001931BD" w:rsidRPr="001D140D">
        <w:rPr>
          <w:rFonts w:cs="Times New Roman"/>
          <w:sz w:val="24"/>
          <w:szCs w:val="24"/>
        </w:rPr>
        <w:t>is in force in Australian jurisdictions and prevents 'Freedom of speech and debates or proceedings in Parliament' from being 'impeached or questioned in any court or place outside of Parliament'.</w:t>
      </w:r>
      <w:r w:rsidR="001931BD" w:rsidRPr="001D140D">
        <w:rPr>
          <w:rStyle w:val="FootnoteReference"/>
          <w:rFonts w:cs="Times New Roman"/>
          <w:sz w:val="24"/>
          <w:szCs w:val="24"/>
        </w:rPr>
        <w:footnoteReference w:id="17"/>
      </w:r>
      <w:r w:rsidR="001931BD" w:rsidRPr="001D140D">
        <w:rPr>
          <w:rFonts w:cs="Times New Roman"/>
          <w:sz w:val="24"/>
          <w:szCs w:val="24"/>
        </w:rPr>
        <w:t xml:space="preserve"> </w:t>
      </w:r>
      <w:r w:rsidR="001D140D" w:rsidRPr="001D140D">
        <w:rPr>
          <w:rFonts w:cs="Times New Roman"/>
          <w:sz w:val="24"/>
          <w:szCs w:val="24"/>
        </w:rPr>
        <w:t>If a committee resolves to conduct site visits or private roundtables, evidence gathered during these activities may reasonably be considered a proceeding of parliament and thereby protected under parliamentary privilege.</w:t>
      </w:r>
    </w:p>
    <w:p w14:paraId="6F68ED97" w14:textId="550F3D47" w:rsidR="00744CE8" w:rsidRDefault="001931BD" w:rsidP="001D140D">
      <w:pPr>
        <w:spacing w:line="360" w:lineRule="auto"/>
        <w:rPr>
          <w:rFonts w:cs="Times New Roman"/>
          <w:sz w:val="24"/>
          <w:szCs w:val="24"/>
        </w:rPr>
      </w:pPr>
      <w:r w:rsidRPr="001D140D">
        <w:rPr>
          <w:rFonts w:cs="Times New Roman"/>
          <w:sz w:val="24"/>
          <w:szCs w:val="24"/>
        </w:rPr>
        <w:t xml:space="preserve">The Commonwealth </w:t>
      </w:r>
      <w:r w:rsidRPr="001D140D">
        <w:rPr>
          <w:rFonts w:cs="Times New Roman"/>
          <w:i/>
          <w:iCs/>
          <w:sz w:val="24"/>
          <w:szCs w:val="24"/>
        </w:rPr>
        <w:t xml:space="preserve">Parliamentary Privileges Act 1987 </w:t>
      </w:r>
      <w:r w:rsidR="00744CE8">
        <w:rPr>
          <w:rFonts w:cs="Times New Roman"/>
          <w:sz w:val="24"/>
          <w:szCs w:val="24"/>
        </w:rPr>
        <w:t>further clarifies</w:t>
      </w:r>
      <w:r w:rsidRPr="001D140D">
        <w:rPr>
          <w:rFonts w:cs="Times New Roman"/>
          <w:sz w:val="24"/>
          <w:szCs w:val="24"/>
        </w:rPr>
        <w:t xml:space="preserve"> proceedings of parliament as 'all words spoken and acts done in the course of, or for purposes incidental to, the transacting of the business of a House or of a committee',</w:t>
      </w:r>
      <w:r w:rsidR="00744CE8" w:rsidRPr="001D140D">
        <w:rPr>
          <w:rStyle w:val="FootnoteReference"/>
          <w:rFonts w:cs="Times New Roman"/>
          <w:sz w:val="24"/>
          <w:szCs w:val="24"/>
        </w:rPr>
        <w:footnoteReference w:id="18"/>
      </w:r>
      <w:r w:rsidRPr="001D140D">
        <w:rPr>
          <w:rFonts w:cs="Times New Roman"/>
          <w:sz w:val="24"/>
          <w:szCs w:val="24"/>
        </w:rPr>
        <w:t xml:space="preserve"> including the giving of evidence before a committee. Additional protections may </w:t>
      </w:r>
      <w:r w:rsidR="001D140D" w:rsidRPr="001D140D">
        <w:rPr>
          <w:rFonts w:cs="Times New Roman"/>
          <w:sz w:val="24"/>
          <w:szCs w:val="24"/>
        </w:rPr>
        <w:t>also be present in other s</w:t>
      </w:r>
      <w:r w:rsidRPr="001D140D">
        <w:rPr>
          <w:rFonts w:cs="Times New Roman"/>
          <w:sz w:val="24"/>
          <w:szCs w:val="24"/>
        </w:rPr>
        <w:t>tatute</w:t>
      </w:r>
      <w:r w:rsidR="001D140D" w:rsidRPr="001D140D">
        <w:rPr>
          <w:rFonts w:cs="Times New Roman"/>
          <w:sz w:val="24"/>
          <w:szCs w:val="24"/>
        </w:rPr>
        <w:t>s</w:t>
      </w:r>
      <w:r w:rsidRPr="001D140D">
        <w:rPr>
          <w:rFonts w:cs="Times New Roman"/>
          <w:sz w:val="24"/>
          <w:szCs w:val="24"/>
        </w:rPr>
        <w:t xml:space="preserve">, such as </w:t>
      </w:r>
      <w:r w:rsidR="001D140D" w:rsidRPr="001D140D">
        <w:rPr>
          <w:rFonts w:cs="Times New Roman"/>
          <w:sz w:val="24"/>
          <w:szCs w:val="24"/>
        </w:rPr>
        <w:t>P</w:t>
      </w:r>
      <w:r w:rsidRPr="001D140D">
        <w:rPr>
          <w:rFonts w:cs="Times New Roman"/>
          <w:sz w:val="24"/>
          <w:szCs w:val="24"/>
        </w:rPr>
        <w:t xml:space="preserve">arliamentary </w:t>
      </w:r>
      <w:r w:rsidR="001D140D" w:rsidRPr="001D140D">
        <w:rPr>
          <w:rFonts w:cs="Times New Roman"/>
          <w:sz w:val="24"/>
          <w:szCs w:val="24"/>
        </w:rPr>
        <w:t>Evidence</w:t>
      </w:r>
      <w:r w:rsidRPr="001D140D">
        <w:rPr>
          <w:rFonts w:cs="Times New Roman"/>
          <w:sz w:val="24"/>
          <w:szCs w:val="24"/>
        </w:rPr>
        <w:t xml:space="preserve"> </w:t>
      </w:r>
      <w:r w:rsidR="001D140D" w:rsidRPr="001D140D">
        <w:rPr>
          <w:rFonts w:cs="Times New Roman"/>
          <w:sz w:val="24"/>
          <w:szCs w:val="24"/>
        </w:rPr>
        <w:t>A</w:t>
      </w:r>
      <w:r w:rsidRPr="001D140D">
        <w:rPr>
          <w:rFonts w:cs="Times New Roman"/>
          <w:sz w:val="24"/>
          <w:szCs w:val="24"/>
        </w:rPr>
        <w:t>cts</w:t>
      </w:r>
      <w:r w:rsidR="001D140D" w:rsidRPr="001D140D">
        <w:rPr>
          <w:rFonts w:cs="Times New Roman"/>
          <w:sz w:val="24"/>
          <w:szCs w:val="24"/>
        </w:rPr>
        <w:t xml:space="preserve"> or Defamation Acts</w:t>
      </w:r>
      <w:r w:rsidRPr="001D140D">
        <w:rPr>
          <w:rFonts w:cs="Times New Roman"/>
          <w:sz w:val="24"/>
          <w:szCs w:val="24"/>
        </w:rPr>
        <w:t xml:space="preserve">. In New South Wales, for example, the </w:t>
      </w:r>
      <w:r w:rsidRPr="001D140D">
        <w:rPr>
          <w:rFonts w:cs="Times New Roman"/>
          <w:i/>
          <w:iCs/>
          <w:sz w:val="24"/>
          <w:szCs w:val="24"/>
        </w:rPr>
        <w:t xml:space="preserve">Parliamentary Evidence Act 1901 </w:t>
      </w:r>
      <w:r w:rsidRPr="001D140D">
        <w:rPr>
          <w:rFonts w:cs="Times New Roman"/>
          <w:sz w:val="24"/>
          <w:szCs w:val="24"/>
        </w:rPr>
        <w:t>provides that 'No action shall be maintainable against any witness who has given evidence, whether on oath or otherwise… for or in respect of any defamatory words spoken by the witness while giving such evidence</w:t>
      </w:r>
      <w:r w:rsidR="00744CE8">
        <w:rPr>
          <w:rFonts w:cs="Times New Roman"/>
          <w:sz w:val="24"/>
          <w:szCs w:val="24"/>
        </w:rPr>
        <w:t>', which may have relevance for unsworn evidence given in informal proceedings</w:t>
      </w:r>
      <w:r w:rsidRPr="001D140D">
        <w:rPr>
          <w:rFonts w:cs="Times New Roman"/>
          <w:sz w:val="24"/>
          <w:szCs w:val="24"/>
        </w:rPr>
        <w:t>.</w:t>
      </w:r>
      <w:r w:rsidRPr="001D140D">
        <w:rPr>
          <w:rStyle w:val="FootnoteReference"/>
          <w:rFonts w:cs="Times New Roman"/>
          <w:sz w:val="24"/>
          <w:szCs w:val="24"/>
        </w:rPr>
        <w:footnoteReference w:id="19"/>
      </w:r>
    </w:p>
    <w:p w14:paraId="3BC39E6B" w14:textId="530CAEFC" w:rsidR="001D140D" w:rsidRPr="001D140D" w:rsidRDefault="00593028" w:rsidP="001D140D">
      <w:pPr>
        <w:spacing w:line="360" w:lineRule="auto"/>
        <w:rPr>
          <w:rFonts w:cs="Times New Roman"/>
          <w:sz w:val="24"/>
          <w:szCs w:val="24"/>
        </w:rPr>
      </w:pPr>
      <w:r w:rsidRPr="001D140D">
        <w:rPr>
          <w:rFonts w:cs="Times New Roman"/>
          <w:sz w:val="24"/>
          <w:szCs w:val="24"/>
        </w:rPr>
        <w:t xml:space="preserve">If it is members' perception that informal evidence is not protected under privilege that is preventing </w:t>
      </w:r>
      <w:r>
        <w:rPr>
          <w:rFonts w:cs="Times New Roman"/>
          <w:sz w:val="24"/>
          <w:szCs w:val="24"/>
        </w:rPr>
        <w:t>its</w:t>
      </w:r>
      <w:r w:rsidRPr="001D140D">
        <w:rPr>
          <w:rFonts w:cs="Times New Roman"/>
          <w:sz w:val="24"/>
          <w:szCs w:val="24"/>
        </w:rPr>
        <w:t xml:space="preserve"> wide</w:t>
      </w:r>
      <w:r>
        <w:rPr>
          <w:rFonts w:cs="Times New Roman"/>
          <w:sz w:val="24"/>
          <w:szCs w:val="24"/>
        </w:rPr>
        <w:t xml:space="preserve">r </w:t>
      </w:r>
      <w:r w:rsidRPr="001D140D">
        <w:rPr>
          <w:rFonts w:cs="Times New Roman"/>
          <w:sz w:val="24"/>
          <w:szCs w:val="24"/>
        </w:rPr>
        <w:t>use,</w:t>
      </w:r>
      <w:r>
        <w:rPr>
          <w:rStyle w:val="FootnoteReference"/>
          <w:rFonts w:cs="Times New Roman"/>
          <w:sz w:val="24"/>
          <w:szCs w:val="24"/>
        </w:rPr>
        <w:footnoteReference w:id="20"/>
      </w:r>
      <w:r w:rsidRPr="001D140D">
        <w:rPr>
          <w:rFonts w:cs="Times New Roman"/>
          <w:sz w:val="24"/>
          <w:szCs w:val="24"/>
        </w:rPr>
        <w:t xml:space="preserve"> briefing material could be provided to committee</w:t>
      </w:r>
      <w:r>
        <w:rPr>
          <w:rFonts w:cs="Times New Roman"/>
          <w:sz w:val="24"/>
          <w:szCs w:val="24"/>
        </w:rPr>
        <w:t xml:space="preserve"> members</w:t>
      </w:r>
      <w:r w:rsidRPr="001D140D">
        <w:rPr>
          <w:rFonts w:cs="Times New Roman"/>
          <w:sz w:val="24"/>
          <w:szCs w:val="24"/>
        </w:rPr>
        <w:t xml:space="preserve"> to assuage this perception.</w:t>
      </w:r>
      <w:r>
        <w:rPr>
          <w:rFonts w:cs="Times New Roman"/>
          <w:sz w:val="24"/>
          <w:szCs w:val="24"/>
        </w:rPr>
        <w:t xml:space="preserve"> </w:t>
      </w:r>
      <w:r w:rsidR="001D140D" w:rsidRPr="001D140D">
        <w:rPr>
          <w:rFonts w:cs="Times New Roman"/>
          <w:sz w:val="24"/>
          <w:szCs w:val="24"/>
        </w:rPr>
        <w:t>There are some important caveats, however. Informal evidence would need to be gathered during valid proceedings of a committee, such as if the committee was acting within its terms of reference and if the committee was quorate when meeting.</w:t>
      </w:r>
      <w:r w:rsidR="001D140D" w:rsidRPr="001D140D">
        <w:rPr>
          <w:rStyle w:val="FootnoteReference"/>
          <w:rFonts w:cs="Times New Roman"/>
          <w:sz w:val="24"/>
          <w:szCs w:val="24"/>
        </w:rPr>
        <w:footnoteReference w:id="21"/>
      </w:r>
      <w:r w:rsidR="001D140D" w:rsidRPr="001D140D">
        <w:rPr>
          <w:rFonts w:cs="Times New Roman"/>
          <w:sz w:val="24"/>
          <w:szCs w:val="24"/>
        </w:rPr>
        <w:t xml:space="preserve"> </w:t>
      </w:r>
      <w:r w:rsidR="00664A36">
        <w:rPr>
          <w:rFonts w:cs="Times New Roman"/>
          <w:sz w:val="24"/>
          <w:szCs w:val="24"/>
        </w:rPr>
        <w:t xml:space="preserve">Much </w:t>
      </w:r>
      <w:r w:rsidR="00664A36">
        <w:rPr>
          <w:rFonts w:cs="Times New Roman"/>
          <w:sz w:val="24"/>
          <w:szCs w:val="24"/>
        </w:rPr>
        <w:lastRenderedPageBreak/>
        <w:t>like other proceedings of parliament</w:t>
      </w:r>
      <w:r w:rsidR="00744CE8">
        <w:rPr>
          <w:rFonts w:cs="Times New Roman"/>
          <w:sz w:val="24"/>
          <w:szCs w:val="24"/>
        </w:rPr>
        <w:t>,</w:t>
      </w:r>
      <w:r w:rsidR="00664A36">
        <w:rPr>
          <w:rStyle w:val="FootnoteReference"/>
          <w:rFonts w:cs="Times New Roman"/>
          <w:sz w:val="24"/>
          <w:szCs w:val="24"/>
        </w:rPr>
        <w:footnoteReference w:id="22"/>
      </w:r>
      <w:r w:rsidR="00744CE8">
        <w:rPr>
          <w:rFonts w:cs="Times New Roman"/>
          <w:sz w:val="24"/>
          <w:szCs w:val="24"/>
        </w:rPr>
        <w:t xml:space="preserve"> records of informal evidence may be admissible in a court, and only privileged in particular circumstances. </w:t>
      </w:r>
    </w:p>
    <w:p w14:paraId="374654A3" w14:textId="28476D7C" w:rsidR="005212B8" w:rsidRPr="001D140D" w:rsidRDefault="001D140D" w:rsidP="001D140D">
      <w:pPr>
        <w:spacing w:line="360" w:lineRule="auto"/>
        <w:jc w:val="center"/>
        <w:rPr>
          <w:rFonts w:cs="Times New Roman"/>
          <w:i/>
          <w:iCs/>
          <w:sz w:val="24"/>
          <w:szCs w:val="24"/>
        </w:rPr>
      </w:pPr>
      <w:r w:rsidRPr="001D140D">
        <w:rPr>
          <w:rFonts w:cs="Times New Roman"/>
          <w:i/>
          <w:iCs/>
          <w:sz w:val="24"/>
          <w:szCs w:val="24"/>
        </w:rPr>
        <w:t xml:space="preserve">B. Case study: </w:t>
      </w:r>
      <w:r>
        <w:rPr>
          <w:rFonts w:cs="Times New Roman"/>
          <w:i/>
          <w:iCs/>
          <w:sz w:val="24"/>
          <w:szCs w:val="24"/>
        </w:rPr>
        <w:t>Broadcast</w:t>
      </w:r>
      <w:r w:rsidR="00744CE8">
        <w:rPr>
          <w:rFonts w:cs="Times New Roman"/>
          <w:i/>
          <w:iCs/>
          <w:sz w:val="24"/>
          <w:szCs w:val="24"/>
        </w:rPr>
        <w:t xml:space="preserve"> of a</w:t>
      </w:r>
      <w:r w:rsidRPr="001D140D">
        <w:rPr>
          <w:rFonts w:cs="Times New Roman"/>
          <w:i/>
          <w:iCs/>
          <w:sz w:val="24"/>
          <w:szCs w:val="24"/>
        </w:rPr>
        <w:t xml:space="preserve"> Community Roundtable</w:t>
      </w:r>
    </w:p>
    <w:p w14:paraId="16C331D9" w14:textId="7842D0BA" w:rsidR="00574E4B" w:rsidRPr="001D140D" w:rsidRDefault="00744CE8" w:rsidP="001D140D">
      <w:pPr>
        <w:spacing w:line="360" w:lineRule="auto"/>
        <w:rPr>
          <w:rFonts w:cs="Times New Roman"/>
          <w:sz w:val="24"/>
          <w:szCs w:val="24"/>
        </w:rPr>
      </w:pPr>
      <w:r>
        <w:rPr>
          <w:rFonts w:cs="Times New Roman"/>
          <w:sz w:val="24"/>
          <w:szCs w:val="24"/>
        </w:rPr>
        <w:t xml:space="preserve">Informal evidence gathering could </w:t>
      </w:r>
      <w:r w:rsidR="00593028">
        <w:rPr>
          <w:rFonts w:cs="Times New Roman"/>
          <w:sz w:val="24"/>
          <w:szCs w:val="24"/>
        </w:rPr>
        <w:t xml:space="preserve">be supported by </w:t>
      </w:r>
      <w:r>
        <w:rPr>
          <w:rFonts w:cs="Times New Roman"/>
          <w:sz w:val="24"/>
          <w:szCs w:val="24"/>
        </w:rPr>
        <w:t xml:space="preserve">guidance </w:t>
      </w:r>
      <w:r w:rsidR="00593028">
        <w:rPr>
          <w:rFonts w:cs="Times New Roman"/>
          <w:sz w:val="24"/>
          <w:szCs w:val="24"/>
        </w:rPr>
        <w:t xml:space="preserve">for </w:t>
      </w:r>
      <w:r>
        <w:rPr>
          <w:rFonts w:cs="Times New Roman"/>
          <w:sz w:val="24"/>
          <w:szCs w:val="24"/>
        </w:rPr>
        <w:t xml:space="preserve">members and participants </w:t>
      </w:r>
      <w:r w:rsidR="00593028">
        <w:rPr>
          <w:rFonts w:cs="Times New Roman"/>
          <w:sz w:val="24"/>
          <w:szCs w:val="24"/>
        </w:rPr>
        <w:t>on how to</w:t>
      </w:r>
      <w:r>
        <w:rPr>
          <w:rFonts w:cs="Times New Roman"/>
          <w:sz w:val="24"/>
          <w:szCs w:val="24"/>
        </w:rPr>
        <w:t xml:space="preserve"> avoid testing the limits of parliamentary privilege. For example, </w:t>
      </w:r>
      <w:proofErr w:type="gramStart"/>
      <w:r w:rsidR="00574E4B" w:rsidRPr="001D140D">
        <w:rPr>
          <w:rFonts w:cs="Times New Roman"/>
          <w:sz w:val="24"/>
          <w:szCs w:val="24"/>
        </w:rPr>
        <w:t>a</w:t>
      </w:r>
      <w:proofErr w:type="gramEnd"/>
      <w:r w:rsidR="00574E4B" w:rsidRPr="001D140D">
        <w:rPr>
          <w:rFonts w:cs="Times New Roman"/>
          <w:sz w:val="24"/>
          <w:szCs w:val="24"/>
        </w:rPr>
        <w:t xml:space="preserve"> NSW Legislative Council inquiry into the commencement of the </w:t>
      </w:r>
      <w:r w:rsidR="00574E4B" w:rsidRPr="001D140D">
        <w:rPr>
          <w:rFonts w:cs="Times New Roman"/>
          <w:i/>
          <w:iCs/>
          <w:sz w:val="24"/>
          <w:szCs w:val="24"/>
        </w:rPr>
        <w:t>Fisheries Management Act 2009</w:t>
      </w:r>
      <w:r>
        <w:rPr>
          <w:rFonts w:cs="Times New Roman"/>
          <w:i/>
          <w:iCs/>
          <w:sz w:val="24"/>
          <w:szCs w:val="24"/>
        </w:rPr>
        <w:t xml:space="preserve"> </w:t>
      </w:r>
      <w:r>
        <w:rPr>
          <w:rFonts w:cs="Times New Roman"/>
          <w:sz w:val="24"/>
          <w:szCs w:val="24"/>
        </w:rPr>
        <w:t xml:space="preserve">included a "community roundtable" with </w:t>
      </w:r>
      <w:r w:rsidR="00574E4B" w:rsidRPr="001D140D">
        <w:rPr>
          <w:rFonts w:cs="Times New Roman"/>
          <w:sz w:val="24"/>
          <w:szCs w:val="24"/>
        </w:rPr>
        <w:t>local cultural fishers. As the roundtable began, the Acting Chair's opening statement included requests that participants 'avoid making adverse comments about others' and 'avoid using people's names and try to keep comments generalised'.</w:t>
      </w:r>
      <w:r w:rsidR="00574E4B" w:rsidRPr="001D140D">
        <w:rPr>
          <w:rStyle w:val="FootnoteReference"/>
          <w:rFonts w:cs="Times New Roman"/>
          <w:sz w:val="24"/>
          <w:szCs w:val="24"/>
        </w:rPr>
        <w:footnoteReference w:id="23"/>
      </w:r>
      <w:r w:rsidR="00574E4B" w:rsidRPr="001D140D">
        <w:rPr>
          <w:rFonts w:cs="Times New Roman"/>
          <w:sz w:val="24"/>
          <w:szCs w:val="24"/>
        </w:rPr>
        <w:t xml:space="preserve"> </w:t>
      </w:r>
    </w:p>
    <w:p w14:paraId="3F4E6617" w14:textId="5C42100E" w:rsidR="00574E4B" w:rsidRDefault="00744CE8" w:rsidP="001D140D">
      <w:pPr>
        <w:spacing w:line="360" w:lineRule="auto"/>
        <w:rPr>
          <w:rFonts w:cs="Times New Roman"/>
          <w:sz w:val="24"/>
          <w:szCs w:val="24"/>
        </w:rPr>
      </w:pPr>
      <w:r>
        <w:rPr>
          <w:rFonts w:cs="Times New Roman"/>
          <w:sz w:val="24"/>
          <w:szCs w:val="24"/>
        </w:rPr>
        <w:t>A</w:t>
      </w:r>
      <w:r w:rsidR="00574E4B" w:rsidRPr="001D140D">
        <w:rPr>
          <w:rFonts w:cs="Times New Roman"/>
          <w:sz w:val="24"/>
          <w:szCs w:val="24"/>
        </w:rPr>
        <w:t>s 'an alternative to a public hearing format',</w:t>
      </w:r>
      <w:r w:rsidR="00574E4B" w:rsidRPr="001D140D">
        <w:rPr>
          <w:rStyle w:val="FootnoteReference"/>
          <w:rFonts w:cs="Times New Roman"/>
          <w:sz w:val="24"/>
          <w:szCs w:val="24"/>
        </w:rPr>
        <w:footnoteReference w:id="24"/>
      </w:r>
      <w:r w:rsidR="00574E4B" w:rsidRPr="001D140D">
        <w:rPr>
          <w:rFonts w:cs="Times New Roman"/>
          <w:sz w:val="24"/>
          <w:szCs w:val="24"/>
        </w:rPr>
        <w:t xml:space="preserve"> </w:t>
      </w:r>
      <w:r>
        <w:rPr>
          <w:rFonts w:cs="Times New Roman"/>
          <w:sz w:val="24"/>
          <w:szCs w:val="24"/>
        </w:rPr>
        <w:t>t</w:t>
      </w:r>
      <w:r w:rsidRPr="001D140D">
        <w:rPr>
          <w:rFonts w:cs="Times New Roman"/>
          <w:sz w:val="24"/>
          <w:szCs w:val="24"/>
        </w:rPr>
        <w:t xml:space="preserve">he roundtable </w:t>
      </w:r>
      <w:r w:rsidR="00574E4B" w:rsidRPr="001D140D">
        <w:rPr>
          <w:rFonts w:cs="Times New Roman"/>
          <w:sz w:val="24"/>
          <w:szCs w:val="24"/>
        </w:rPr>
        <w:t xml:space="preserve">had a number of features that were intended to make proceedings </w:t>
      </w:r>
      <w:r w:rsidR="00593028">
        <w:rPr>
          <w:rFonts w:cs="Times New Roman"/>
          <w:sz w:val="24"/>
          <w:szCs w:val="24"/>
        </w:rPr>
        <w:t>less formal to support the participation of</w:t>
      </w:r>
      <w:r w:rsidR="00574E4B" w:rsidRPr="001D140D">
        <w:rPr>
          <w:rFonts w:cs="Times New Roman"/>
          <w:sz w:val="24"/>
          <w:szCs w:val="24"/>
        </w:rPr>
        <w:t xml:space="preserve"> Indigenous community representatives. This included seating members and participants around the table in a 'mixed format' – as opposed to members seated to one side and </w:t>
      </w:r>
      <w:r w:rsidR="00593028">
        <w:rPr>
          <w:rFonts w:cs="Times New Roman"/>
          <w:sz w:val="24"/>
          <w:szCs w:val="24"/>
        </w:rPr>
        <w:t>witnesses</w:t>
      </w:r>
      <w:r w:rsidR="00574E4B" w:rsidRPr="001D140D">
        <w:rPr>
          <w:rFonts w:cs="Times New Roman"/>
          <w:sz w:val="24"/>
          <w:szCs w:val="24"/>
        </w:rPr>
        <w:t xml:space="preserve"> sitting opposite – and </w:t>
      </w:r>
      <w:r>
        <w:rPr>
          <w:rFonts w:cs="Times New Roman"/>
          <w:sz w:val="24"/>
          <w:szCs w:val="24"/>
        </w:rPr>
        <w:t xml:space="preserve">not requiring that </w:t>
      </w:r>
      <w:r w:rsidR="00574E4B" w:rsidRPr="001D140D">
        <w:rPr>
          <w:rFonts w:cs="Times New Roman"/>
          <w:sz w:val="24"/>
          <w:szCs w:val="24"/>
        </w:rPr>
        <w:t xml:space="preserve">community representatives </w:t>
      </w:r>
      <w:r>
        <w:rPr>
          <w:rFonts w:cs="Times New Roman"/>
          <w:sz w:val="24"/>
          <w:szCs w:val="24"/>
        </w:rPr>
        <w:t xml:space="preserve">be </w:t>
      </w:r>
      <w:r w:rsidR="00574E4B" w:rsidRPr="001D140D">
        <w:rPr>
          <w:rFonts w:cs="Times New Roman"/>
          <w:sz w:val="24"/>
          <w:szCs w:val="24"/>
        </w:rPr>
        <w:t>required to take an oath or make an affirmation.</w:t>
      </w:r>
      <w:r w:rsidR="00574E4B" w:rsidRPr="001D140D">
        <w:rPr>
          <w:rStyle w:val="FootnoteReference"/>
          <w:rFonts w:cs="Times New Roman"/>
          <w:sz w:val="24"/>
          <w:szCs w:val="24"/>
        </w:rPr>
        <w:footnoteReference w:id="25"/>
      </w:r>
      <w:r w:rsidR="001931BD" w:rsidRPr="001D140D">
        <w:rPr>
          <w:rFonts w:cs="Times New Roman"/>
          <w:sz w:val="24"/>
          <w:szCs w:val="24"/>
        </w:rPr>
        <w:t xml:space="preserve"> </w:t>
      </w:r>
      <w:r w:rsidR="00574E4B" w:rsidRPr="001D140D">
        <w:rPr>
          <w:rFonts w:cs="Times New Roman"/>
          <w:sz w:val="24"/>
          <w:szCs w:val="24"/>
        </w:rPr>
        <w:t xml:space="preserve">Nonetheless, the informal evidence was recorded by Hansard staff, the </w:t>
      </w:r>
      <w:r w:rsidR="00593028">
        <w:rPr>
          <w:rFonts w:cs="Times New Roman"/>
          <w:sz w:val="24"/>
          <w:szCs w:val="24"/>
        </w:rPr>
        <w:t xml:space="preserve">Committee </w:t>
      </w:r>
      <w:r w:rsidR="001931BD" w:rsidRPr="001D140D">
        <w:rPr>
          <w:rFonts w:cs="Times New Roman"/>
          <w:sz w:val="24"/>
          <w:szCs w:val="24"/>
        </w:rPr>
        <w:t xml:space="preserve">resolved to publish the </w:t>
      </w:r>
      <w:r w:rsidR="00574E4B" w:rsidRPr="001D140D">
        <w:rPr>
          <w:rFonts w:cs="Times New Roman"/>
          <w:sz w:val="24"/>
          <w:szCs w:val="24"/>
        </w:rPr>
        <w:t xml:space="preserve">transcript and the evidence was cited in the </w:t>
      </w:r>
      <w:r w:rsidR="00593028">
        <w:rPr>
          <w:rFonts w:cs="Times New Roman"/>
          <w:sz w:val="24"/>
          <w:szCs w:val="24"/>
        </w:rPr>
        <w:t>C</w:t>
      </w:r>
      <w:r w:rsidR="00574E4B" w:rsidRPr="001D140D">
        <w:rPr>
          <w:rFonts w:cs="Times New Roman"/>
          <w:sz w:val="24"/>
          <w:szCs w:val="24"/>
        </w:rPr>
        <w:t>ommittee's report.</w:t>
      </w:r>
    </w:p>
    <w:p w14:paraId="06ACBB85" w14:textId="77777777" w:rsidR="00744CE8" w:rsidRDefault="00744CE8" w:rsidP="001D140D">
      <w:pPr>
        <w:spacing w:line="360" w:lineRule="auto"/>
        <w:rPr>
          <w:rFonts w:cs="Times New Roman"/>
          <w:sz w:val="24"/>
          <w:szCs w:val="24"/>
        </w:rPr>
      </w:pPr>
    </w:p>
    <w:p w14:paraId="514B409B" w14:textId="24006C7D" w:rsidR="001D140D" w:rsidRPr="001D140D" w:rsidRDefault="001D140D" w:rsidP="001D140D">
      <w:pPr>
        <w:spacing w:line="360" w:lineRule="auto"/>
        <w:jc w:val="center"/>
        <w:rPr>
          <w:rFonts w:cs="Times New Roman"/>
          <w:i/>
          <w:iCs/>
          <w:sz w:val="24"/>
          <w:szCs w:val="24"/>
        </w:rPr>
      </w:pPr>
      <w:r w:rsidRPr="001D140D">
        <w:rPr>
          <w:rFonts w:cs="Times New Roman"/>
          <w:i/>
          <w:iCs/>
          <w:sz w:val="24"/>
          <w:szCs w:val="24"/>
        </w:rPr>
        <w:t>C. Case Study: Published Transcript of an Expert Briefing</w:t>
      </w:r>
    </w:p>
    <w:p w14:paraId="14188A43" w14:textId="2DA09F31" w:rsidR="00744CE8" w:rsidRDefault="001D140D" w:rsidP="001D140D">
      <w:pPr>
        <w:spacing w:line="360" w:lineRule="auto"/>
        <w:rPr>
          <w:rFonts w:cs="Times New Roman"/>
          <w:sz w:val="24"/>
          <w:szCs w:val="24"/>
        </w:rPr>
      </w:pPr>
      <w:r>
        <w:rPr>
          <w:rFonts w:cs="Times New Roman"/>
          <w:sz w:val="24"/>
          <w:szCs w:val="24"/>
        </w:rPr>
        <w:t>The</w:t>
      </w:r>
      <w:r w:rsidR="001931BD" w:rsidRPr="001D140D">
        <w:rPr>
          <w:rFonts w:cs="Times New Roman"/>
          <w:sz w:val="24"/>
          <w:szCs w:val="24"/>
        </w:rPr>
        <w:t xml:space="preserve"> NSW Legislative Assembly</w:t>
      </w:r>
      <w:r>
        <w:rPr>
          <w:rFonts w:cs="Times New Roman"/>
          <w:sz w:val="24"/>
          <w:szCs w:val="24"/>
        </w:rPr>
        <w:t>'s</w:t>
      </w:r>
      <w:r w:rsidR="001931BD" w:rsidRPr="001D140D">
        <w:rPr>
          <w:rFonts w:cs="Times New Roman"/>
          <w:sz w:val="24"/>
          <w:szCs w:val="24"/>
        </w:rPr>
        <w:t xml:space="preserve"> </w:t>
      </w:r>
      <w:r>
        <w:rPr>
          <w:rFonts w:cs="Times New Roman"/>
          <w:sz w:val="24"/>
          <w:szCs w:val="24"/>
        </w:rPr>
        <w:t>C</w:t>
      </w:r>
      <w:r w:rsidR="001931BD" w:rsidRPr="001D140D">
        <w:rPr>
          <w:rFonts w:cs="Times New Roman"/>
          <w:sz w:val="24"/>
          <w:szCs w:val="24"/>
        </w:rPr>
        <w:t xml:space="preserve">ommittee </w:t>
      </w:r>
      <w:r>
        <w:rPr>
          <w:rFonts w:cs="Times New Roman"/>
          <w:sz w:val="24"/>
          <w:szCs w:val="24"/>
        </w:rPr>
        <w:t xml:space="preserve">on Law and Safety participated in an expert briefing that was transcribed and published, without a resolution to broadcast proceedings. </w:t>
      </w:r>
      <w:r w:rsidR="001931BD" w:rsidRPr="001D140D">
        <w:rPr>
          <w:rFonts w:cs="Times New Roman"/>
          <w:sz w:val="24"/>
          <w:szCs w:val="24"/>
        </w:rPr>
        <w:t xml:space="preserve">The briefing was a </w:t>
      </w:r>
      <w:r>
        <w:rPr>
          <w:rFonts w:cs="Times New Roman"/>
          <w:sz w:val="24"/>
          <w:szCs w:val="24"/>
        </w:rPr>
        <w:t>back</w:t>
      </w:r>
      <w:r w:rsidR="00744CE8">
        <w:rPr>
          <w:rFonts w:cs="Times New Roman"/>
          <w:sz w:val="24"/>
          <w:szCs w:val="24"/>
        </w:rPr>
        <w:t xml:space="preserve">grounding </w:t>
      </w:r>
      <w:r w:rsidR="001931BD" w:rsidRPr="001D140D">
        <w:rPr>
          <w:rFonts w:cs="Times New Roman"/>
          <w:sz w:val="24"/>
          <w:szCs w:val="24"/>
        </w:rPr>
        <w:t xml:space="preserve">exercise intended to </w:t>
      </w:r>
      <w:r w:rsidR="00744CE8">
        <w:rPr>
          <w:rFonts w:cs="Times New Roman"/>
          <w:sz w:val="24"/>
          <w:szCs w:val="24"/>
        </w:rPr>
        <w:t xml:space="preserve">facilitate </w:t>
      </w:r>
      <w:r w:rsidR="001931BD" w:rsidRPr="001D140D">
        <w:rPr>
          <w:rFonts w:cs="Times New Roman"/>
          <w:sz w:val="24"/>
          <w:szCs w:val="24"/>
        </w:rPr>
        <w:t xml:space="preserve">'a greater understanding' of the complex, technical issues germane to </w:t>
      </w:r>
      <w:r w:rsidR="00744CE8">
        <w:rPr>
          <w:rFonts w:cs="Times New Roman"/>
          <w:sz w:val="24"/>
          <w:szCs w:val="24"/>
        </w:rPr>
        <w:t>an</w:t>
      </w:r>
      <w:r w:rsidR="001931BD" w:rsidRPr="001D140D">
        <w:rPr>
          <w:rFonts w:cs="Times New Roman"/>
          <w:sz w:val="24"/>
          <w:szCs w:val="24"/>
        </w:rPr>
        <w:t xml:space="preserve"> inquiry into embedded networks.</w:t>
      </w:r>
      <w:r w:rsidR="001931BD" w:rsidRPr="001D140D">
        <w:rPr>
          <w:rStyle w:val="FootnoteReference"/>
          <w:rFonts w:cs="Times New Roman"/>
          <w:sz w:val="24"/>
          <w:szCs w:val="24"/>
        </w:rPr>
        <w:footnoteReference w:id="26"/>
      </w:r>
      <w:r w:rsidR="001931BD" w:rsidRPr="001D140D">
        <w:rPr>
          <w:rFonts w:cs="Times New Roman"/>
          <w:sz w:val="24"/>
          <w:szCs w:val="24"/>
        </w:rPr>
        <w:t xml:space="preserve"> The Committee resolved to conduct the expert briefing 'prior to any public hearings and that Hansard transcribe the briefing with a view to it being made public and published on the inquiry webpage'.</w:t>
      </w:r>
      <w:r>
        <w:rPr>
          <w:rStyle w:val="FootnoteReference"/>
          <w:rFonts w:cs="Times New Roman"/>
          <w:sz w:val="24"/>
          <w:szCs w:val="24"/>
        </w:rPr>
        <w:footnoteReference w:id="27"/>
      </w:r>
      <w:r>
        <w:rPr>
          <w:rFonts w:cs="Times New Roman"/>
          <w:sz w:val="24"/>
          <w:szCs w:val="24"/>
        </w:rPr>
        <w:t xml:space="preserve"> </w:t>
      </w:r>
    </w:p>
    <w:p w14:paraId="34C377E8" w14:textId="754BEF5E" w:rsidR="001931BD" w:rsidRPr="001D140D" w:rsidRDefault="00744CE8" w:rsidP="001D140D">
      <w:pPr>
        <w:spacing w:line="360" w:lineRule="auto"/>
        <w:rPr>
          <w:rFonts w:cs="Times New Roman"/>
          <w:sz w:val="24"/>
          <w:szCs w:val="24"/>
        </w:rPr>
      </w:pPr>
      <w:r>
        <w:rPr>
          <w:rFonts w:cs="Times New Roman"/>
          <w:sz w:val="24"/>
          <w:szCs w:val="24"/>
        </w:rPr>
        <w:lastRenderedPageBreak/>
        <w:t xml:space="preserve">Similar to the above example, the use of </w:t>
      </w:r>
      <w:r w:rsidRPr="001D140D">
        <w:rPr>
          <w:rFonts w:cs="Times New Roman"/>
          <w:sz w:val="24"/>
          <w:szCs w:val="24"/>
        </w:rPr>
        <w:t xml:space="preserve">informal evidence </w:t>
      </w:r>
      <w:r>
        <w:rPr>
          <w:rFonts w:cs="Times New Roman"/>
          <w:sz w:val="24"/>
          <w:szCs w:val="24"/>
        </w:rPr>
        <w:t xml:space="preserve">rests upon planning and adequate discussions between committee members, secretariats and stakeholders. Consideration can be given to the degree of visibility or contemporaneousness of evidence given. While the utility of informal evidence is greater when it is transcribed and published, it may not need to be broadcast live (or at all). </w:t>
      </w:r>
      <w:r w:rsidR="001931BD" w:rsidRPr="001D140D">
        <w:rPr>
          <w:rFonts w:cs="Times New Roman"/>
          <w:sz w:val="24"/>
          <w:szCs w:val="24"/>
        </w:rPr>
        <w:t xml:space="preserve">Using such an approach, committee staff can inform participants </w:t>
      </w:r>
      <w:r w:rsidR="00593028">
        <w:rPr>
          <w:rFonts w:cs="Times New Roman"/>
          <w:sz w:val="24"/>
          <w:szCs w:val="24"/>
        </w:rPr>
        <w:t xml:space="preserve">in advance </w:t>
      </w:r>
      <w:r w:rsidR="001931BD" w:rsidRPr="001D140D">
        <w:rPr>
          <w:rFonts w:cs="Times New Roman"/>
          <w:sz w:val="24"/>
          <w:szCs w:val="24"/>
        </w:rPr>
        <w:t xml:space="preserve">that the briefing transcript is likely to be published, while also allowing the committee to decide not to publish it </w:t>
      </w:r>
      <w:r w:rsidR="00593028">
        <w:rPr>
          <w:rFonts w:cs="Times New Roman"/>
          <w:sz w:val="24"/>
          <w:szCs w:val="24"/>
        </w:rPr>
        <w:t xml:space="preserve">until </w:t>
      </w:r>
      <w:r w:rsidR="001931BD" w:rsidRPr="001D140D">
        <w:rPr>
          <w:rFonts w:cs="Times New Roman"/>
          <w:sz w:val="24"/>
          <w:szCs w:val="24"/>
        </w:rPr>
        <w:t xml:space="preserve">after the transcript has been reviewed for adverse mention or other </w:t>
      </w:r>
      <w:r>
        <w:rPr>
          <w:rFonts w:cs="Times New Roman"/>
          <w:sz w:val="24"/>
          <w:szCs w:val="24"/>
        </w:rPr>
        <w:t xml:space="preserve">potential </w:t>
      </w:r>
      <w:r w:rsidR="001931BD" w:rsidRPr="001D140D">
        <w:rPr>
          <w:rFonts w:cs="Times New Roman"/>
          <w:sz w:val="24"/>
          <w:szCs w:val="24"/>
        </w:rPr>
        <w:t>impacts.</w:t>
      </w:r>
    </w:p>
    <w:p w14:paraId="4CDB5C32" w14:textId="3DFB2E8E" w:rsidR="001931BD" w:rsidRDefault="001D140D" w:rsidP="00744CE8">
      <w:pPr>
        <w:spacing w:line="360" w:lineRule="auto"/>
        <w:jc w:val="center"/>
        <w:rPr>
          <w:rFonts w:cs="Times New Roman"/>
          <w:i/>
          <w:iCs/>
          <w:sz w:val="24"/>
          <w:szCs w:val="24"/>
        </w:rPr>
      </w:pPr>
      <w:r>
        <w:rPr>
          <w:rFonts w:cs="Times New Roman"/>
          <w:i/>
          <w:iCs/>
          <w:sz w:val="24"/>
          <w:szCs w:val="24"/>
        </w:rPr>
        <w:t xml:space="preserve">D. Other </w:t>
      </w:r>
      <w:r w:rsidR="00744CE8">
        <w:rPr>
          <w:rFonts w:cs="Times New Roman"/>
          <w:i/>
          <w:iCs/>
          <w:sz w:val="24"/>
          <w:szCs w:val="24"/>
        </w:rPr>
        <w:t>Avenues for Using Informal Evidence</w:t>
      </w:r>
    </w:p>
    <w:p w14:paraId="54B369C6" w14:textId="1EFEDE5A" w:rsidR="001D140D" w:rsidRDefault="001D140D" w:rsidP="001D140D">
      <w:pPr>
        <w:spacing w:line="360" w:lineRule="auto"/>
        <w:rPr>
          <w:rFonts w:cs="Times New Roman"/>
          <w:sz w:val="24"/>
          <w:szCs w:val="24"/>
        </w:rPr>
      </w:pPr>
      <w:r>
        <w:rPr>
          <w:rFonts w:cs="Times New Roman"/>
          <w:sz w:val="24"/>
          <w:szCs w:val="24"/>
        </w:rPr>
        <w:t xml:space="preserve">Other strategies could be deployed to ensure greater use of informal evidence and mitigate real or perceived risks of informal evidence not attracting parliamentary privilege. For example, Geddes argues that, in order to enhance </w:t>
      </w:r>
      <w:proofErr w:type="gramStart"/>
      <w:r>
        <w:rPr>
          <w:rFonts w:cs="Times New Roman"/>
          <w:sz w:val="24"/>
          <w:szCs w:val="24"/>
        </w:rPr>
        <w:t>evidence</w:t>
      </w:r>
      <w:proofErr w:type="gramEnd"/>
      <w:r>
        <w:rPr>
          <w:rFonts w:cs="Times New Roman"/>
          <w:sz w:val="24"/>
          <w:szCs w:val="24"/>
        </w:rPr>
        <w:t xml:space="preserve"> use by committees more broadly, informal evidence gathering activities should be formally institutionalised as 'an accepted and valid form of evidence'.</w:t>
      </w:r>
      <w:r>
        <w:rPr>
          <w:rStyle w:val="FootnoteReference"/>
          <w:rFonts w:cs="Times New Roman"/>
          <w:sz w:val="24"/>
          <w:szCs w:val="24"/>
        </w:rPr>
        <w:footnoteReference w:id="28"/>
      </w:r>
      <w:r w:rsidR="00744CE8">
        <w:rPr>
          <w:rFonts w:cs="Times New Roman"/>
          <w:sz w:val="24"/>
          <w:szCs w:val="24"/>
        </w:rPr>
        <w:t xml:space="preserve"> </w:t>
      </w:r>
      <w:r w:rsidR="00593028">
        <w:rPr>
          <w:rFonts w:cs="Times New Roman"/>
          <w:sz w:val="24"/>
          <w:szCs w:val="24"/>
        </w:rPr>
        <w:t xml:space="preserve">Geddes </w:t>
      </w:r>
      <w:r>
        <w:rPr>
          <w:rFonts w:cs="Times New Roman"/>
          <w:sz w:val="24"/>
          <w:szCs w:val="24"/>
        </w:rPr>
        <w:t>offer</w:t>
      </w:r>
      <w:r w:rsidR="00593028">
        <w:rPr>
          <w:rFonts w:cs="Times New Roman"/>
          <w:sz w:val="24"/>
          <w:szCs w:val="24"/>
        </w:rPr>
        <w:t>s</w:t>
      </w:r>
      <w:r>
        <w:rPr>
          <w:rFonts w:cs="Times New Roman"/>
          <w:sz w:val="24"/>
          <w:szCs w:val="24"/>
        </w:rPr>
        <w:t xml:space="preserve"> a cautious approach to using evidence from site visits, roundtables, focus groups and surveys, whereby 'only an anonymised summary of the activity/information would be published as a formal record/proceeding…'.</w:t>
      </w:r>
      <w:r>
        <w:rPr>
          <w:rStyle w:val="FootnoteReference"/>
          <w:rFonts w:cs="Times New Roman"/>
          <w:sz w:val="24"/>
          <w:szCs w:val="24"/>
        </w:rPr>
        <w:footnoteReference w:id="29"/>
      </w:r>
    </w:p>
    <w:p w14:paraId="1EAA21BE" w14:textId="4D5075A2" w:rsidR="001D140D" w:rsidRDefault="001D140D" w:rsidP="001D140D">
      <w:pPr>
        <w:spacing w:line="360" w:lineRule="auto"/>
        <w:rPr>
          <w:rFonts w:cs="Times New Roman"/>
          <w:sz w:val="24"/>
          <w:szCs w:val="24"/>
        </w:rPr>
      </w:pPr>
      <w:r>
        <w:rPr>
          <w:rFonts w:cs="Times New Roman"/>
          <w:sz w:val="24"/>
          <w:szCs w:val="24"/>
        </w:rPr>
        <w:t xml:space="preserve">Regarding greater use of academic material, </w:t>
      </w:r>
      <w:r w:rsidR="00593028">
        <w:rPr>
          <w:rFonts w:cs="Times New Roman"/>
          <w:sz w:val="24"/>
          <w:szCs w:val="24"/>
        </w:rPr>
        <w:t>such as</w:t>
      </w:r>
      <w:r>
        <w:rPr>
          <w:rFonts w:cs="Times New Roman"/>
          <w:sz w:val="24"/>
          <w:szCs w:val="24"/>
        </w:rPr>
        <w:t xml:space="preserve"> journal articles or external research reports, this may simply be a case of </w:t>
      </w:r>
      <w:r w:rsidR="00593028">
        <w:rPr>
          <w:rFonts w:cs="Times New Roman"/>
          <w:sz w:val="24"/>
          <w:szCs w:val="24"/>
        </w:rPr>
        <w:t>clarifying (through dialogue with committee members and staff) the circumstances in which using</w:t>
      </w:r>
      <w:r>
        <w:rPr>
          <w:rFonts w:cs="Times New Roman"/>
          <w:sz w:val="24"/>
          <w:szCs w:val="24"/>
        </w:rPr>
        <w:t xml:space="preserve"> these types of sources within a committee report </w:t>
      </w:r>
      <w:r w:rsidR="00593028">
        <w:rPr>
          <w:rFonts w:cs="Times New Roman"/>
          <w:sz w:val="24"/>
          <w:szCs w:val="24"/>
        </w:rPr>
        <w:t>would be appropriate and beneficial</w:t>
      </w:r>
      <w:r>
        <w:rPr>
          <w:rFonts w:cs="Times New Roman"/>
          <w:sz w:val="24"/>
          <w:szCs w:val="24"/>
        </w:rPr>
        <w:t xml:space="preserve">. Guidelines for using evidence outside of core committee activities (public hearings, published submissions, site visits and other less formal activities) could be established, such as </w:t>
      </w:r>
      <w:r w:rsidR="00593028">
        <w:rPr>
          <w:rFonts w:cs="Times New Roman"/>
          <w:sz w:val="24"/>
          <w:szCs w:val="24"/>
        </w:rPr>
        <w:t>criteria for determining "</w:t>
      </w:r>
      <w:r>
        <w:rPr>
          <w:rFonts w:cs="Times New Roman"/>
          <w:sz w:val="24"/>
          <w:szCs w:val="24"/>
        </w:rPr>
        <w:t>reliabl</w:t>
      </w:r>
      <w:r w:rsidR="00593028">
        <w:rPr>
          <w:rFonts w:cs="Times New Roman"/>
          <w:sz w:val="24"/>
          <w:szCs w:val="24"/>
        </w:rPr>
        <w:t xml:space="preserve">e" </w:t>
      </w:r>
      <w:r>
        <w:rPr>
          <w:rFonts w:cs="Times New Roman"/>
          <w:sz w:val="24"/>
          <w:szCs w:val="24"/>
        </w:rPr>
        <w:t xml:space="preserve">academic material in supporting or contesting oral evidence, or </w:t>
      </w:r>
      <w:r w:rsidR="00593028">
        <w:rPr>
          <w:rFonts w:cs="Times New Roman"/>
          <w:sz w:val="24"/>
          <w:szCs w:val="24"/>
        </w:rPr>
        <w:t xml:space="preserve">limiting its use to </w:t>
      </w:r>
      <w:r>
        <w:rPr>
          <w:rFonts w:cs="Times New Roman"/>
          <w:sz w:val="24"/>
          <w:szCs w:val="24"/>
        </w:rPr>
        <w:t>"filling gaps" in an inquiry's evidence base</w:t>
      </w:r>
      <w:r w:rsidR="00593028">
        <w:rPr>
          <w:rFonts w:cs="Times New Roman"/>
          <w:sz w:val="24"/>
          <w:szCs w:val="24"/>
        </w:rPr>
        <w:t>,</w:t>
      </w:r>
      <w:r>
        <w:rPr>
          <w:rFonts w:cs="Times New Roman"/>
          <w:sz w:val="24"/>
          <w:szCs w:val="24"/>
        </w:rPr>
        <w:t xml:space="preserve"> once public hearings and responses to questions on notice have concluded.</w:t>
      </w:r>
    </w:p>
    <w:p w14:paraId="1BEEE7B9" w14:textId="77777777" w:rsidR="00593028" w:rsidRPr="001D140D" w:rsidRDefault="00593028" w:rsidP="001D140D">
      <w:pPr>
        <w:spacing w:line="360" w:lineRule="auto"/>
        <w:rPr>
          <w:rFonts w:cs="Times New Roman"/>
          <w:sz w:val="24"/>
          <w:szCs w:val="24"/>
        </w:rPr>
      </w:pPr>
    </w:p>
    <w:p w14:paraId="6807E36B" w14:textId="0F3A018B" w:rsidR="00692D05" w:rsidRDefault="001D140D" w:rsidP="001D140D">
      <w:pPr>
        <w:spacing w:line="360" w:lineRule="auto"/>
        <w:jc w:val="center"/>
        <w:rPr>
          <w:rFonts w:cs="Times New Roman"/>
          <w:b/>
          <w:bCs/>
          <w:sz w:val="24"/>
          <w:szCs w:val="24"/>
        </w:rPr>
      </w:pPr>
      <w:r>
        <w:rPr>
          <w:rFonts w:cs="Times New Roman"/>
          <w:b/>
          <w:bCs/>
          <w:sz w:val="24"/>
          <w:szCs w:val="24"/>
        </w:rPr>
        <w:t>5. CONCLUSION</w:t>
      </w:r>
    </w:p>
    <w:p w14:paraId="3F59F468" w14:textId="7C4BD51C" w:rsidR="001D140D" w:rsidRDefault="00744CE8" w:rsidP="001D140D">
      <w:pPr>
        <w:spacing w:line="360" w:lineRule="auto"/>
        <w:rPr>
          <w:rFonts w:cs="Times New Roman"/>
          <w:sz w:val="24"/>
          <w:szCs w:val="24"/>
        </w:rPr>
      </w:pPr>
      <w:r>
        <w:rPr>
          <w:rFonts w:cs="Times New Roman"/>
          <w:sz w:val="24"/>
          <w:szCs w:val="24"/>
        </w:rPr>
        <w:t xml:space="preserve">Greater use of informal evidence in committee inquiries may have the benefit of increasing stakeholder participation, reducing cultural barriers to Indigenous stakeholders' participation, and strengthening an inquiry's evidence based through the use of external academic material. Further research could also explore stakeholder preferences for giving evidence through formal </w:t>
      </w:r>
      <w:r>
        <w:rPr>
          <w:rFonts w:cs="Times New Roman"/>
          <w:sz w:val="24"/>
          <w:szCs w:val="24"/>
        </w:rPr>
        <w:lastRenderedPageBreak/>
        <w:t xml:space="preserve">or informal means. While barriers of perception and practicality are not insurmountable, adequate planning and dialogue between committees and committee staff is critical – particularly in the case of providing guidance on the protections of parliamentary privilege. </w:t>
      </w:r>
      <w:r w:rsidR="00593028">
        <w:rPr>
          <w:rFonts w:cs="Times New Roman"/>
          <w:sz w:val="24"/>
          <w:szCs w:val="24"/>
        </w:rPr>
        <w:t>As part of wider efforts to modernise parliaments and increase public participation in democratic processes, p</w:t>
      </w:r>
      <w:r>
        <w:rPr>
          <w:rFonts w:cs="Times New Roman"/>
          <w:sz w:val="24"/>
          <w:szCs w:val="24"/>
        </w:rPr>
        <w:t xml:space="preserve">arliamentary staff could give more explicit consideration to "formalising the informal" and working with members and stakeholders </w:t>
      </w:r>
      <w:r w:rsidR="002D61FC">
        <w:rPr>
          <w:rFonts w:cs="Times New Roman"/>
          <w:sz w:val="24"/>
          <w:szCs w:val="24"/>
        </w:rPr>
        <w:t>on ways to</w:t>
      </w:r>
      <w:r>
        <w:rPr>
          <w:rFonts w:cs="Times New Roman"/>
          <w:sz w:val="24"/>
          <w:szCs w:val="24"/>
        </w:rPr>
        <w:t xml:space="preserve"> broaden inquiry evidence beyond established conventions. </w:t>
      </w:r>
    </w:p>
    <w:p w14:paraId="742E492F" w14:textId="56525969" w:rsidR="00744CE8" w:rsidRDefault="00744CE8" w:rsidP="001D140D">
      <w:pPr>
        <w:spacing w:line="360" w:lineRule="auto"/>
        <w:rPr>
          <w:rFonts w:cs="Times New Roman"/>
          <w:i/>
          <w:iCs/>
          <w:sz w:val="24"/>
          <w:szCs w:val="24"/>
        </w:rPr>
      </w:pPr>
      <w:r>
        <w:rPr>
          <w:rFonts w:cs="Times New Roman"/>
          <w:i/>
          <w:iCs/>
          <w:sz w:val="24"/>
          <w:szCs w:val="24"/>
        </w:rPr>
        <w:t xml:space="preserve">Word count (excluding footnotes and bibliography): </w:t>
      </w:r>
      <w:r w:rsidR="00593028">
        <w:rPr>
          <w:rFonts w:cs="Times New Roman"/>
          <w:i/>
          <w:iCs/>
          <w:sz w:val="24"/>
          <w:szCs w:val="24"/>
        </w:rPr>
        <w:t>2</w:t>
      </w:r>
      <w:r>
        <w:rPr>
          <w:rFonts w:cs="Times New Roman"/>
          <w:i/>
          <w:iCs/>
          <w:sz w:val="24"/>
          <w:szCs w:val="24"/>
        </w:rPr>
        <w:t>,</w:t>
      </w:r>
      <w:r w:rsidR="00593028">
        <w:rPr>
          <w:rFonts w:cs="Times New Roman"/>
          <w:i/>
          <w:iCs/>
          <w:sz w:val="24"/>
          <w:szCs w:val="24"/>
        </w:rPr>
        <w:t>99</w:t>
      </w:r>
      <w:r w:rsidR="002D61FC">
        <w:rPr>
          <w:rFonts w:cs="Times New Roman"/>
          <w:i/>
          <w:iCs/>
          <w:sz w:val="24"/>
          <w:szCs w:val="24"/>
        </w:rPr>
        <w:t>5</w:t>
      </w:r>
      <w:r>
        <w:rPr>
          <w:rFonts w:cs="Times New Roman"/>
          <w:i/>
          <w:iCs/>
          <w:sz w:val="24"/>
          <w:szCs w:val="24"/>
        </w:rPr>
        <w:t xml:space="preserve"> words.</w:t>
      </w:r>
    </w:p>
    <w:p w14:paraId="303CF7A6" w14:textId="2DF5615D" w:rsidR="00EC5D81" w:rsidRDefault="00EC5D81" w:rsidP="001D140D">
      <w:pPr>
        <w:spacing w:line="360" w:lineRule="auto"/>
        <w:rPr>
          <w:rFonts w:cs="Times New Roman"/>
          <w:i/>
          <w:iCs/>
          <w:sz w:val="24"/>
          <w:szCs w:val="24"/>
        </w:rPr>
      </w:pPr>
    </w:p>
    <w:p w14:paraId="7E843172" w14:textId="77777777" w:rsidR="00EC5D81" w:rsidRPr="008C7549" w:rsidRDefault="00EC5D81" w:rsidP="00EC5D81">
      <w:pPr>
        <w:jc w:val="center"/>
        <w:rPr>
          <w:rFonts w:cs="Times New Roman"/>
          <w:b/>
          <w:bCs/>
          <w:sz w:val="24"/>
          <w:szCs w:val="24"/>
        </w:rPr>
      </w:pPr>
      <w:r w:rsidRPr="008C7549">
        <w:rPr>
          <w:rFonts w:cs="Times New Roman"/>
          <w:b/>
          <w:bCs/>
          <w:sz w:val="24"/>
          <w:szCs w:val="24"/>
        </w:rPr>
        <w:t>6. BIBLIOGRAPHY</w:t>
      </w:r>
    </w:p>
    <w:p w14:paraId="67A66A79" w14:textId="77777777" w:rsidR="00EC5D81" w:rsidRPr="006841FF" w:rsidRDefault="00EC5D81" w:rsidP="00EC5D81">
      <w:pPr>
        <w:jc w:val="center"/>
        <w:rPr>
          <w:rFonts w:cs="Times New Roman"/>
          <w:i/>
          <w:iCs/>
          <w:sz w:val="22"/>
          <w:szCs w:val="22"/>
        </w:rPr>
      </w:pPr>
      <w:r w:rsidRPr="006841FF">
        <w:rPr>
          <w:rFonts w:cs="Times New Roman"/>
          <w:i/>
          <w:iCs/>
          <w:sz w:val="22"/>
          <w:szCs w:val="22"/>
        </w:rPr>
        <w:t>A. Articles/Books/Reports</w:t>
      </w:r>
    </w:p>
    <w:p w14:paraId="764F9373" w14:textId="77777777" w:rsidR="00EC5D81" w:rsidRPr="006841FF" w:rsidRDefault="00EC5D81" w:rsidP="008C7549">
      <w:pPr>
        <w:spacing w:line="360" w:lineRule="auto"/>
        <w:jc w:val="left"/>
        <w:rPr>
          <w:rFonts w:cs="Times New Roman"/>
          <w:sz w:val="22"/>
          <w:szCs w:val="22"/>
        </w:rPr>
      </w:pPr>
      <w:r w:rsidRPr="006841FF">
        <w:rPr>
          <w:rFonts w:cs="Times New Roman"/>
          <w:sz w:val="22"/>
          <w:szCs w:val="22"/>
        </w:rPr>
        <w:t xml:space="preserve">Beswick, Danielle and Stephen </w:t>
      </w:r>
      <w:proofErr w:type="spellStart"/>
      <w:r w:rsidRPr="006841FF">
        <w:rPr>
          <w:rFonts w:cs="Times New Roman"/>
          <w:sz w:val="22"/>
          <w:szCs w:val="22"/>
        </w:rPr>
        <w:t>Elstub</w:t>
      </w:r>
      <w:proofErr w:type="spellEnd"/>
      <w:r w:rsidRPr="006841FF">
        <w:rPr>
          <w:rFonts w:cs="Times New Roman"/>
          <w:sz w:val="22"/>
          <w:szCs w:val="22"/>
        </w:rPr>
        <w:t xml:space="preserve">, 'Between Diversity, Representation and ‘Best Evidence’: Rethinking Select Committee Evidence-Gathering Practice' (2019) 72 </w:t>
      </w:r>
      <w:r w:rsidRPr="006841FF">
        <w:rPr>
          <w:rFonts w:cs="Times New Roman"/>
          <w:i/>
          <w:iCs/>
          <w:sz w:val="22"/>
          <w:szCs w:val="22"/>
        </w:rPr>
        <w:t>Parliamentary Affairs</w:t>
      </w:r>
      <w:r w:rsidRPr="006841FF">
        <w:rPr>
          <w:rFonts w:cs="Times New Roman"/>
          <w:sz w:val="22"/>
          <w:szCs w:val="22"/>
        </w:rPr>
        <w:t xml:space="preserve"> 945</w:t>
      </w:r>
    </w:p>
    <w:p w14:paraId="65D88767" w14:textId="77777777" w:rsidR="00EC5D81" w:rsidRPr="006841FF" w:rsidRDefault="00EC5D81" w:rsidP="008C7549">
      <w:pPr>
        <w:spacing w:line="360" w:lineRule="auto"/>
        <w:jc w:val="left"/>
        <w:rPr>
          <w:rFonts w:cs="Times New Roman"/>
          <w:sz w:val="22"/>
          <w:szCs w:val="22"/>
        </w:rPr>
      </w:pPr>
      <w:proofErr w:type="spellStart"/>
      <w:r w:rsidRPr="006841FF">
        <w:rPr>
          <w:rFonts w:cs="Times New Roman"/>
          <w:sz w:val="22"/>
          <w:szCs w:val="22"/>
        </w:rPr>
        <w:t>Biber</w:t>
      </w:r>
      <w:proofErr w:type="spellEnd"/>
      <w:r w:rsidRPr="006841FF">
        <w:rPr>
          <w:rFonts w:cs="Times New Roman"/>
          <w:sz w:val="22"/>
          <w:szCs w:val="22"/>
        </w:rPr>
        <w:t xml:space="preserve">, Katherine, 'Fact-Finding, Proof and Indigenous Knowledge: Teaching Evidence in Australia' (2010) 35(4) </w:t>
      </w:r>
      <w:r w:rsidRPr="006841FF">
        <w:rPr>
          <w:rFonts w:cs="Times New Roman"/>
          <w:i/>
          <w:iCs/>
          <w:sz w:val="22"/>
          <w:szCs w:val="22"/>
        </w:rPr>
        <w:t xml:space="preserve">Alternative Law Journal </w:t>
      </w:r>
      <w:r w:rsidRPr="006841FF">
        <w:rPr>
          <w:rFonts w:cs="Times New Roman"/>
          <w:sz w:val="22"/>
          <w:szCs w:val="22"/>
        </w:rPr>
        <w:t>208</w:t>
      </w:r>
    </w:p>
    <w:p w14:paraId="3ECF7886" w14:textId="77777777" w:rsidR="00EC5D81" w:rsidRPr="006841FF" w:rsidRDefault="00EC5D81" w:rsidP="008C7549">
      <w:pPr>
        <w:spacing w:line="360" w:lineRule="auto"/>
        <w:jc w:val="left"/>
        <w:rPr>
          <w:rFonts w:cs="Times New Roman"/>
          <w:i/>
          <w:iCs/>
          <w:sz w:val="22"/>
          <w:szCs w:val="22"/>
        </w:rPr>
      </w:pPr>
      <w:proofErr w:type="spellStart"/>
      <w:r w:rsidRPr="006841FF">
        <w:rPr>
          <w:rFonts w:cs="Times New Roman"/>
          <w:sz w:val="22"/>
          <w:szCs w:val="22"/>
        </w:rPr>
        <w:t>Bochel</w:t>
      </w:r>
      <w:proofErr w:type="spellEnd"/>
      <w:r w:rsidRPr="006841FF">
        <w:rPr>
          <w:rFonts w:cs="Times New Roman"/>
          <w:sz w:val="22"/>
          <w:szCs w:val="22"/>
        </w:rPr>
        <w:t xml:space="preserve">, Hugh and Anouk Berthier, 'A Place at the Table? Parliamentary Committees, Witnesses and the Scrutiny of Government Actions and Legislation' (2020) 19(1) </w:t>
      </w:r>
      <w:r w:rsidRPr="006841FF">
        <w:rPr>
          <w:rFonts w:cs="Times New Roman"/>
          <w:i/>
          <w:iCs/>
          <w:sz w:val="22"/>
          <w:szCs w:val="22"/>
        </w:rPr>
        <w:t>Social Policy &amp; Society</w:t>
      </w:r>
      <w:r w:rsidRPr="006841FF">
        <w:rPr>
          <w:rFonts w:cs="Times New Roman"/>
          <w:sz w:val="22"/>
          <w:szCs w:val="22"/>
        </w:rPr>
        <w:t xml:space="preserve"> 1</w:t>
      </w:r>
    </w:p>
    <w:p w14:paraId="384F7B0E" w14:textId="77777777" w:rsidR="00EC5D81" w:rsidRPr="006841FF" w:rsidRDefault="00EC5D81" w:rsidP="008C7549">
      <w:pPr>
        <w:spacing w:line="360" w:lineRule="auto"/>
        <w:jc w:val="left"/>
        <w:rPr>
          <w:rFonts w:cs="Times New Roman"/>
          <w:sz w:val="22"/>
          <w:szCs w:val="22"/>
        </w:rPr>
      </w:pPr>
      <w:proofErr w:type="spellStart"/>
      <w:r w:rsidRPr="006841FF">
        <w:rPr>
          <w:rFonts w:cs="Times New Roman"/>
          <w:sz w:val="22"/>
          <w:szCs w:val="22"/>
        </w:rPr>
        <w:t>Chaqués-Bonafont</w:t>
      </w:r>
      <w:proofErr w:type="spellEnd"/>
      <w:r w:rsidRPr="006841FF">
        <w:rPr>
          <w:rFonts w:cs="Times New Roman"/>
          <w:sz w:val="22"/>
          <w:szCs w:val="22"/>
        </w:rPr>
        <w:t xml:space="preserve">, Laura, and Luz M Muñoz Márquez, 'Explaining interest group access to parliamentary committees' (2016) 39(6) </w:t>
      </w:r>
      <w:r w:rsidRPr="006841FF">
        <w:rPr>
          <w:rFonts w:cs="Times New Roman"/>
          <w:i/>
          <w:iCs/>
          <w:sz w:val="22"/>
          <w:szCs w:val="22"/>
        </w:rPr>
        <w:t>West European Politics</w:t>
      </w:r>
      <w:r w:rsidRPr="006841FF">
        <w:rPr>
          <w:rFonts w:cs="Times New Roman"/>
          <w:sz w:val="22"/>
          <w:szCs w:val="22"/>
        </w:rPr>
        <w:t xml:space="preserve"> 1276</w:t>
      </w:r>
    </w:p>
    <w:p w14:paraId="5C30A1C6" w14:textId="77777777" w:rsidR="00EC5D81" w:rsidRPr="006841FF" w:rsidRDefault="00EC5D81" w:rsidP="008C7549">
      <w:pPr>
        <w:spacing w:line="360" w:lineRule="auto"/>
        <w:jc w:val="left"/>
        <w:rPr>
          <w:rFonts w:cs="Times New Roman"/>
          <w:sz w:val="22"/>
          <w:szCs w:val="22"/>
        </w:rPr>
      </w:pPr>
      <w:r w:rsidRPr="006841FF">
        <w:rPr>
          <w:rFonts w:cs="Times New Roman"/>
          <w:sz w:val="22"/>
          <w:szCs w:val="22"/>
        </w:rPr>
        <w:t>Geddes, Marc, 'Good Evidence: How do Select Committees Use Evidence to Support their Work' (Parliamentary Academic Fellowship Scheme project, University of Edinburgh, January 2023)</w:t>
      </w:r>
    </w:p>
    <w:p w14:paraId="50BB1307"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Geddes, Marc, 'The Web of Belief Around 'Evidence' in Legislatures: The Case of Select Committees in the UK House of Commons' (2021) 99 </w:t>
      </w:r>
      <w:r w:rsidRPr="006841FF">
        <w:rPr>
          <w:rFonts w:cs="Times New Roman"/>
          <w:i/>
          <w:iCs/>
          <w:sz w:val="22"/>
          <w:szCs w:val="22"/>
        </w:rPr>
        <w:t>Public Administration</w:t>
      </w:r>
      <w:r w:rsidRPr="006841FF">
        <w:rPr>
          <w:rFonts w:cs="Times New Roman"/>
          <w:sz w:val="22"/>
          <w:szCs w:val="22"/>
        </w:rPr>
        <w:t xml:space="preserve"> 40</w:t>
      </w:r>
    </w:p>
    <w:p w14:paraId="33D5D52D" w14:textId="77777777" w:rsidR="00EC5D81" w:rsidRPr="006841FF" w:rsidRDefault="00EC5D81" w:rsidP="008C7549">
      <w:pPr>
        <w:pStyle w:val="FootnoteText"/>
        <w:spacing w:line="360" w:lineRule="auto"/>
        <w:jc w:val="left"/>
        <w:rPr>
          <w:rFonts w:cs="Times New Roman"/>
          <w:sz w:val="10"/>
          <w:szCs w:val="10"/>
        </w:rPr>
      </w:pPr>
    </w:p>
    <w:p w14:paraId="2D5FECD3" w14:textId="77777777" w:rsidR="00EC5D81" w:rsidRPr="006841FF" w:rsidRDefault="00EC5D81" w:rsidP="008C7549">
      <w:pPr>
        <w:spacing w:line="360" w:lineRule="auto"/>
        <w:jc w:val="left"/>
        <w:rPr>
          <w:rFonts w:cs="Times New Roman"/>
          <w:i/>
          <w:iCs/>
          <w:sz w:val="22"/>
          <w:szCs w:val="22"/>
        </w:rPr>
      </w:pPr>
      <w:r w:rsidRPr="006841FF">
        <w:rPr>
          <w:rFonts w:cs="Times New Roman"/>
          <w:sz w:val="22"/>
          <w:szCs w:val="22"/>
        </w:rPr>
        <w:t xml:space="preserve">Grove, Russell D, Mark Swinson and Stephanie </w:t>
      </w:r>
      <w:proofErr w:type="spellStart"/>
      <w:r w:rsidRPr="006841FF">
        <w:rPr>
          <w:rFonts w:cs="Times New Roman"/>
          <w:sz w:val="22"/>
          <w:szCs w:val="22"/>
        </w:rPr>
        <w:t>Hesford</w:t>
      </w:r>
      <w:proofErr w:type="spellEnd"/>
      <w:r w:rsidRPr="006841FF">
        <w:rPr>
          <w:rFonts w:cs="Times New Roman"/>
          <w:sz w:val="22"/>
          <w:szCs w:val="22"/>
        </w:rPr>
        <w:t>, '</w:t>
      </w:r>
      <w:r w:rsidRPr="006841FF">
        <w:rPr>
          <w:rFonts w:cs="Times New Roman"/>
          <w:i/>
          <w:iCs/>
          <w:sz w:val="22"/>
          <w:szCs w:val="22"/>
        </w:rPr>
        <w:t>Part 2 Chapter 3 – Such Privileges as were Imported by the Adoption of the Bill of Rights</w:t>
      </w:r>
      <w:r w:rsidRPr="006841FF">
        <w:rPr>
          <w:rFonts w:cs="Times New Roman"/>
          <w:sz w:val="22"/>
          <w:szCs w:val="22"/>
        </w:rPr>
        <w:t xml:space="preserve">', in Russell D Grove (ed) </w:t>
      </w:r>
      <w:r w:rsidRPr="006841FF">
        <w:rPr>
          <w:rFonts w:cs="Times New Roman"/>
          <w:i/>
          <w:iCs/>
          <w:sz w:val="22"/>
          <w:szCs w:val="22"/>
        </w:rPr>
        <w:t xml:space="preserve">NSW Legislative Assembly Practice, Procedure and Privilege </w:t>
      </w:r>
      <w:r w:rsidRPr="006841FF">
        <w:rPr>
          <w:rFonts w:cs="Times New Roman"/>
          <w:sz w:val="22"/>
          <w:szCs w:val="22"/>
        </w:rPr>
        <w:t>(NSW Legislative Assembly, 2007),</w:t>
      </w:r>
      <w:r w:rsidRPr="006841FF">
        <w:rPr>
          <w:rFonts w:cs="Times New Roman"/>
          <w:i/>
          <w:iCs/>
          <w:sz w:val="22"/>
          <w:szCs w:val="22"/>
        </w:rPr>
        <w:t xml:space="preserve"> </w:t>
      </w:r>
      <w:r w:rsidRPr="006841FF">
        <w:rPr>
          <w:rFonts w:cs="Times New Roman"/>
          <w:sz w:val="22"/>
          <w:szCs w:val="22"/>
        </w:rPr>
        <w:t>&lt;https://www.parliament.nsw.gov.au/la/procedural publications/Documents/wppbook/Part%202%20Chapter%203%20Such%20privileges%20as%20were%20imported%20by%20the%20adoption%20of%20the%20Bill%20of%20Rights.pdf&gt;</w:t>
      </w:r>
    </w:p>
    <w:p w14:paraId="540D2D72" w14:textId="4C896C01"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Hendricks, Carolyn M, and Jennifer Lees-</w:t>
      </w:r>
      <w:proofErr w:type="spellStart"/>
      <w:r w:rsidRPr="006841FF">
        <w:rPr>
          <w:rFonts w:cs="Times New Roman"/>
          <w:sz w:val="22"/>
          <w:szCs w:val="22"/>
        </w:rPr>
        <w:t>Mar</w:t>
      </w:r>
      <w:r w:rsidR="001048EC">
        <w:rPr>
          <w:rFonts w:cs="Times New Roman"/>
          <w:sz w:val="22"/>
          <w:szCs w:val="22"/>
        </w:rPr>
        <w:t>s</w:t>
      </w:r>
      <w:r w:rsidRPr="006841FF">
        <w:rPr>
          <w:rFonts w:cs="Times New Roman"/>
          <w:sz w:val="22"/>
          <w:szCs w:val="22"/>
        </w:rPr>
        <w:t>hment</w:t>
      </w:r>
      <w:proofErr w:type="spellEnd"/>
      <w:r w:rsidRPr="006841FF">
        <w:rPr>
          <w:rFonts w:cs="Times New Roman"/>
          <w:sz w:val="22"/>
          <w:szCs w:val="22"/>
        </w:rPr>
        <w:t xml:space="preserve">, 'Political Leaders and Public Engagement: The Hidden World of Informal Elite-Citizen Interaction' (2019) 67(3) </w:t>
      </w:r>
      <w:r w:rsidRPr="006841FF">
        <w:rPr>
          <w:rFonts w:cs="Times New Roman"/>
          <w:i/>
          <w:iCs/>
          <w:sz w:val="22"/>
          <w:szCs w:val="22"/>
        </w:rPr>
        <w:t>Political Studies</w:t>
      </w:r>
      <w:r w:rsidRPr="006841FF">
        <w:rPr>
          <w:rFonts w:cs="Times New Roman"/>
          <w:sz w:val="22"/>
          <w:szCs w:val="22"/>
        </w:rPr>
        <w:t xml:space="preserve"> 597</w:t>
      </w:r>
    </w:p>
    <w:p w14:paraId="1895639B" w14:textId="77777777" w:rsidR="00EC5D81" w:rsidRPr="006841FF" w:rsidRDefault="00EC5D81" w:rsidP="008C7549">
      <w:pPr>
        <w:pStyle w:val="FootnoteText"/>
        <w:spacing w:line="360" w:lineRule="auto"/>
        <w:jc w:val="left"/>
        <w:rPr>
          <w:rFonts w:cs="Times New Roman"/>
          <w:sz w:val="10"/>
          <w:szCs w:val="10"/>
        </w:rPr>
      </w:pPr>
    </w:p>
    <w:p w14:paraId="361AE815" w14:textId="4B412D4F"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lastRenderedPageBreak/>
        <w:t xml:space="preserve">Ho, </w:t>
      </w:r>
      <w:r>
        <w:rPr>
          <w:rFonts w:cs="Times New Roman"/>
          <w:sz w:val="22"/>
          <w:szCs w:val="22"/>
        </w:rPr>
        <w:t xml:space="preserve">Hock Lai, </w:t>
      </w:r>
      <w:r w:rsidRPr="006841FF">
        <w:rPr>
          <w:rFonts w:cs="Times New Roman"/>
          <w:sz w:val="22"/>
          <w:szCs w:val="22"/>
        </w:rPr>
        <w:t xml:space="preserve">'The Legal Concept of Evidence' [2021] (Winter) </w:t>
      </w:r>
      <w:r w:rsidRPr="006841FF">
        <w:rPr>
          <w:rFonts w:cs="Times New Roman"/>
          <w:i/>
          <w:iCs/>
          <w:sz w:val="22"/>
          <w:szCs w:val="22"/>
        </w:rPr>
        <w:t xml:space="preserve">Stanford Encyclopedia of Philosophy </w:t>
      </w:r>
      <w:r w:rsidRPr="006841FF">
        <w:rPr>
          <w:rFonts w:cs="Times New Roman"/>
          <w:sz w:val="22"/>
          <w:szCs w:val="22"/>
        </w:rPr>
        <w:t xml:space="preserve">&lt;https://plato.stanford.edu/entries/evidence-legal/&gt;. </w:t>
      </w:r>
    </w:p>
    <w:p w14:paraId="41463F00" w14:textId="77777777" w:rsidR="00EC5D81" w:rsidRPr="006841FF" w:rsidRDefault="00EC5D81" w:rsidP="008C7549">
      <w:pPr>
        <w:pStyle w:val="FootnoteText"/>
        <w:spacing w:line="360" w:lineRule="auto"/>
        <w:jc w:val="left"/>
        <w:rPr>
          <w:rFonts w:cs="Times New Roman"/>
          <w:sz w:val="10"/>
          <w:szCs w:val="10"/>
        </w:rPr>
      </w:pPr>
    </w:p>
    <w:p w14:paraId="3EEBC6E1"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Marsh, Ian and Darren Halpin, 'Parliamentary Committees and Inquiries', in Brian Head and Kate Crowley (eds), </w:t>
      </w:r>
      <w:r w:rsidRPr="006841FF">
        <w:rPr>
          <w:rFonts w:cs="Times New Roman"/>
          <w:i/>
          <w:iCs/>
          <w:sz w:val="22"/>
          <w:szCs w:val="22"/>
        </w:rPr>
        <w:t>Policy Analysis in Australia</w:t>
      </w:r>
      <w:r w:rsidRPr="006841FF">
        <w:rPr>
          <w:rFonts w:cs="Times New Roman"/>
          <w:sz w:val="22"/>
          <w:szCs w:val="22"/>
        </w:rPr>
        <w:t xml:space="preserve"> (Bristol University Press, Policy Press, 2015) 137</w:t>
      </w:r>
    </w:p>
    <w:p w14:paraId="179AFA09" w14:textId="44C68967" w:rsidR="00EC5D81" w:rsidRPr="006841FF" w:rsidRDefault="008C7549" w:rsidP="008C7549">
      <w:pPr>
        <w:spacing w:line="360" w:lineRule="auto"/>
        <w:jc w:val="left"/>
        <w:rPr>
          <w:rFonts w:cs="Times New Roman"/>
          <w:sz w:val="22"/>
          <w:szCs w:val="22"/>
        </w:rPr>
      </w:pPr>
      <w:r w:rsidRPr="008C7549">
        <w:rPr>
          <w:rFonts w:cs="Times New Roman"/>
          <w:sz w:val="14"/>
          <w:szCs w:val="14"/>
        </w:rPr>
        <w:br/>
      </w:r>
      <w:r w:rsidR="00EC5D81" w:rsidRPr="006841FF">
        <w:rPr>
          <w:rFonts w:cs="Times New Roman"/>
          <w:sz w:val="22"/>
          <w:szCs w:val="22"/>
        </w:rPr>
        <w:t xml:space="preserve">Ray, Andrew, Arabella Young and Will J Grant, Will J, 'Analysing the types of evidence used by Australian federal parliamentary committees' (2022) 81(1) </w:t>
      </w:r>
      <w:r w:rsidR="00EC5D81" w:rsidRPr="006841FF">
        <w:rPr>
          <w:rFonts w:cs="Times New Roman"/>
          <w:i/>
          <w:iCs/>
          <w:sz w:val="22"/>
          <w:szCs w:val="22"/>
        </w:rPr>
        <w:t>Australian Journal of Public Administration</w:t>
      </w:r>
      <w:r w:rsidR="00EC5D81" w:rsidRPr="006841FF">
        <w:rPr>
          <w:rFonts w:cs="Times New Roman"/>
          <w:sz w:val="22"/>
          <w:szCs w:val="22"/>
        </w:rPr>
        <w:t xml:space="preserve"> 279</w:t>
      </w:r>
    </w:p>
    <w:p w14:paraId="2F76DF0C" w14:textId="77777777" w:rsidR="00EC5D81" w:rsidRPr="006841FF" w:rsidRDefault="00EC5D81" w:rsidP="008C7549">
      <w:pPr>
        <w:spacing w:line="360" w:lineRule="auto"/>
        <w:jc w:val="center"/>
        <w:rPr>
          <w:rFonts w:cs="Times New Roman"/>
          <w:i/>
          <w:iCs/>
          <w:sz w:val="22"/>
          <w:szCs w:val="22"/>
        </w:rPr>
      </w:pPr>
    </w:p>
    <w:p w14:paraId="7E57968A" w14:textId="77777777" w:rsidR="00EC5D81" w:rsidRPr="006841FF" w:rsidRDefault="00EC5D81" w:rsidP="008C7549">
      <w:pPr>
        <w:spacing w:line="360" w:lineRule="auto"/>
        <w:jc w:val="center"/>
        <w:rPr>
          <w:rFonts w:cs="Times New Roman"/>
          <w:i/>
          <w:iCs/>
          <w:sz w:val="22"/>
          <w:szCs w:val="22"/>
        </w:rPr>
      </w:pPr>
      <w:r w:rsidRPr="006841FF">
        <w:rPr>
          <w:rFonts w:cs="Times New Roman"/>
          <w:i/>
          <w:iCs/>
          <w:sz w:val="22"/>
          <w:szCs w:val="22"/>
        </w:rPr>
        <w:t>B. Cases</w:t>
      </w:r>
    </w:p>
    <w:p w14:paraId="01371B68" w14:textId="46E50384" w:rsidR="00EC5D81" w:rsidRPr="006841FF" w:rsidRDefault="00EC5D81" w:rsidP="008C7549">
      <w:pPr>
        <w:spacing w:line="360" w:lineRule="auto"/>
        <w:jc w:val="left"/>
        <w:rPr>
          <w:rFonts w:cs="Times New Roman"/>
          <w:i/>
          <w:iCs/>
          <w:sz w:val="22"/>
          <w:szCs w:val="22"/>
        </w:rPr>
      </w:pPr>
      <w:r w:rsidRPr="006841FF">
        <w:rPr>
          <w:rFonts w:cs="Times New Roman"/>
          <w:i/>
          <w:iCs/>
          <w:sz w:val="22"/>
          <w:szCs w:val="22"/>
        </w:rPr>
        <w:t xml:space="preserve">Kazal v Independent Commission Against Corruption </w:t>
      </w:r>
      <w:r w:rsidRPr="006841FF">
        <w:rPr>
          <w:rFonts w:cs="Times New Roman"/>
          <w:sz w:val="22"/>
          <w:szCs w:val="22"/>
        </w:rPr>
        <w:t>[2013] NSWSC 53</w:t>
      </w:r>
    </w:p>
    <w:p w14:paraId="3A230E38" w14:textId="78FD7A31" w:rsidR="00EC5D81" w:rsidRDefault="00EC5D81" w:rsidP="008C7549">
      <w:pPr>
        <w:spacing w:line="360" w:lineRule="auto"/>
        <w:jc w:val="left"/>
        <w:rPr>
          <w:rFonts w:cs="Times New Roman"/>
          <w:sz w:val="22"/>
          <w:szCs w:val="22"/>
        </w:rPr>
      </w:pPr>
      <w:r w:rsidRPr="006841FF">
        <w:rPr>
          <w:rFonts w:cs="Times New Roman"/>
          <w:i/>
          <w:iCs/>
          <w:sz w:val="22"/>
          <w:szCs w:val="22"/>
        </w:rPr>
        <w:t>Leyonhjelm v Hanson-Young</w:t>
      </w:r>
      <w:r w:rsidRPr="006841FF">
        <w:rPr>
          <w:rFonts w:cs="Times New Roman"/>
          <w:sz w:val="22"/>
          <w:szCs w:val="22"/>
        </w:rPr>
        <w:t xml:space="preserve"> (2021) FCAFC 22</w:t>
      </w:r>
    </w:p>
    <w:p w14:paraId="6DE53EFA" w14:textId="77777777" w:rsidR="00EC5D81" w:rsidRPr="006841FF" w:rsidRDefault="00EC5D81" w:rsidP="008C7549">
      <w:pPr>
        <w:spacing w:line="360" w:lineRule="auto"/>
        <w:jc w:val="left"/>
        <w:rPr>
          <w:rFonts w:cs="Times New Roman"/>
          <w:i/>
          <w:iCs/>
          <w:sz w:val="22"/>
          <w:szCs w:val="22"/>
        </w:rPr>
      </w:pPr>
    </w:p>
    <w:p w14:paraId="0EADF0D0" w14:textId="77777777" w:rsidR="00EC5D81" w:rsidRPr="006841FF" w:rsidRDefault="00EC5D81" w:rsidP="008C7549">
      <w:pPr>
        <w:spacing w:line="360" w:lineRule="auto"/>
        <w:jc w:val="center"/>
        <w:rPr>
          <w:rFonts w:cs="Times New Roman"/>
          <w:i/>
          <w:iCs/>
          <w:sz w:val="22"/>
          <w:szCs w:val="22"/>
        </w:rPr>
      </w:pPr>
      <w:r w:rsidRPr="006841FF">
        <w:rPr>
          <w:rFonts w:cs="Times New Roman"/>
          <w:i/>
          <w:iCs/>
          <w:sz w:val="22"/>
          <w:szCs w:val="22"/>
        </w:rPr>
        <w:t>C. Legislation</w:t>
      </w:r>
    </w:p>
    <w:p w14:paraId="41FC15EF" w14:textId="77777777" w:rsidR="00EC5D81" w:rsidRPr="006841FF" w:rsidRDefault="00EC5D81" w:rsidP="008C7549">
      <w:pPr>
        <w:spacing w:line="360" w:lineRule="auto"/>
        <w:jc w:val="left"/>
        <w:rPr>
          <w:rFonts w:cs="Times New Roman"/>
          <w:i/>
          <w:iCs/>
          <w:sz w:val="22"/>
          <w:szCs w:val="22"/>
        </w:rPr>
      </w:pPr>
      <w:r w:rsidRPr="006841FF">
        <w:rPr>
          <w:rFonts w:cs="Times New Roman"/>
          <w:i/>
          <w:iCs/>
          <w:sz w:val="22"/>
          <w:szCs w:val="22"/>
        </w:rPr>
        <w:t>Bill of Rights 1688</w:t>
      </w:r>
    </w:p>
    <w:p w14:paraId="7EE23867" w14:textId="77777777" w:rsidR="00EC5D81" w:rsidRPr="006841FF" w:rsidRDefault="00EC5D81" w:rsidP="008C7549">
      <w:pPr>
        <w:spacing w:line="360" w:lineRule="auto"/>
        <w:jc w:val="left"/>
        <w:rPr>
          <w:rFonts w:cs="Times New Roman"/>
          <w:i/>
          <w:iCs/>
          <w:sz w:val="22"/>
          <w:szCs w:val="22"/>
        </w:rPr>
      </w:pPr>
      <w:r w:rsidRPr="006841FF">
        <w:rPr>
          <w:rFonts w:cs="Times New Roman"/>
          <w:i/>
          <w:iCs/>
          <w:sz w:val="22"/>
          <w:szCs w:val="22"/>
        </w:rPr>
        <w:t xml:space="preserve">Independent Commission Against Corruption Act 1988 </w:t>
      </w:r>
      <w:r w:rsidRPr="006841FF">
        <w:rPr>
          <w:rFonts w:cs="Times New Roman"/>
          <w:sz w:val="22"/>
          <w:szCs w:val="22"/>
        </w:rPr>
        <w:t>(NSW)</w:t>
      </w:r>
    </w:p>
    <w:p w14:paraId="479ACBAB" w14:textId="77777777" w:rsidR="00EC5D81" w:rsidRPr="006841FF" w:rsidRDefault="00EC5D81" w:rsidP="008C7549">
      <w:pPr>
        <w:spacing w:line="360" w:lineRule="auto"/>
        <w:jc w:val="left"/>
        <w:rPr>
          <w:rFonts w:cs="Times New Roman"/>
          <w:sz w:val="22"/>
          <w:szCs w:val="22"/>
        </w:rPr>
      </w:pPr>
      <w:r w:rsidRPr="006841FF">
        <w:rPr>
          <w:rFonts w:cs="Times New Roman"/>
          <w:i/>
          <w:iCs/>
          <w:sz w:val="22"/>
          <w:szCs w:val="22"/>
        </w:rPr>
        <w:t>Parliamentary Committees Act 2003</w:t>
      </w:r>
      <w:r w:rsidRPr="006841FF">
        <w:rPr>
          <w:rFonts w:cs="Times New Roman"/>
          <w:sz w:val="22"/>
          <w:szCs w:val="22"/>
        </w:rPr>
        <w:t xml:space="preserve"> (Vic)</w:t>
      </w:r>
    </w:p>
    <w:p w14:paraId="78A1D165" w14:textId="77777777" w:rsidR="008C7549" w:rsidRPr="006841FF" w:rsidRDefault="008C7549" w:rsidP="008C7549">
      <w:pPr>
        <w:spacing w:line="360" w:lineRule="auto"/>
        <w:jc w:val="left"/>
        <w:rPr>
          <w:rFonts w:cs="Times New Roman"/>
          <w:sz w:val="22"/>
          <w:szCs w:val="22"/>
        </w:rPr>
      </w:pPr>
      <w:r w:rsidRPr="006841FF">
        <w:rPr>
          <w:rFonts w:cs="Times New Roman"/>
          <w:i/>
          <w:iCs/>
          <w:sz w:val="22"/>
          <w:szCs w:val="22"/>
        </w:rPr>
        <w:t xml:space="preserve">Parliamentary Evidence Act 1901 </w:t>
      </w:r>
      <w:r w:rsidRPr="006841FF">
        <w:rPr>
          <w:rFonts w:cs="Times New Roman"/>
          <w:sz w:val="22"/>
          <w:szCs w:val="22"/>
        </w:rPr>
        <w:t>(NSW)</w:t>
      </w:r>
    </w:p>
    <w:p w14:paraId="18842987" w14:textId="703FB6E6" w:rsidR="00EC5D81" w:rsidRPr="006841FF" w:rsidRDefault="00EC5D81" w:rsidP="008C7549">
      <w:pPr>
        <w:spacing w:line="360" w:lineRule="auto"/>
        <w:jc w:val="left"/>
        <w:rPr>
          <w:rFonts w:cs="Times New Roman"/>
          <w:sz w:val="22"/>
          <w:szCs w:val="22"/>
        </w:rPr>
      </w:pPr>
      <w:r w:rsidRPr="006841FF">
        <w:rPr>
          <w:rFonts w:cs="Times New Roman"/>
          <w:i/>
          <w:iCs/>
          <w:sz w:val="22"/>
          <w:szCs w:val="22"/>
        </w:rPr>
        <w:t xml:space="preserve">Parliamentary Privileges Act 1987 </w:t>
      </w:r>
      <w:r w:rsidRPr="006841FF">
        <w:rPr>
          <w:rFonts w:cs="Times New Roman"/>
          <w:sz w:val="22"/>
          <w:szCs w:val="22"/>
        </w:rPr>
        <w:t>(</w:t>
      </w:r>
      <w:proofErr w:type="spellStart"/>
      <w:r w:rsidRPr="006841FF">
        <w:rPr>
          <w:rFonts w:cs="Times New Roman"/>
          <w:sz w:val="22"/>
          <w:szCs w:val="22"/>
        </w:rPr>
        <w:t>Cth</w:t>
      </w:r>
      <w:proofErr w:type="spellEnd"/>
      <w:r w:rsidRPr="006841FF">
        <w:rPr>
          <w:rFonts w:cs="Times New Roman"/>
          <w:sz w:val="22"/>
          <w:szCs w:val="22"/>
        </w:rPr>
        <w:t>)</w:t>
      </w:r>
    </w:p>
    <w:p w14:paraId="4493AE8C" w14:textId="77777777" w:rsidR="00EC5D81" w:rsidRPr="006841FF" w:rsidRDefault="00EC5D81" w:rsidP="008C7549">
      <w:pPr>
        <w:spacing w:line="360" w:lineRule="auto"/>
        <w:jc w:val="left"/>
        <w:rPr>
          <w:rFonts w:cs="Times New Roman"/>
          <w:i/>
          <w:iCs/>
          <w:sz w:val="22"/>
          <w:szCs w:val="22"/>
        </w:rPr>
      </w:pPr>
      <w:r w:rsidRPr="006841FF">
        <w:rPr>
          <w:rFonts w:cs="Times New Roman"/>
          <w:i/>
          <w:iCs/>
          <w:sz w:val="22"/>
          <w:szCs w:val="22"/>
        </w:rPr>
        <w:t xml:space="preserve">Parliament of Queensland Act 2001 </w:t>
      </w:r>
      <w:r w:rsidRPr="006841FF">
        <w:rPr>
          <w:rFonts w:cs="Times New Roman"/>
          <w:sz w:val="22"/>
          <w:szCs w:val="22"/>
        </w:rPr>
        <w:t>(Qld)</w:t>
      </w:r>
    </w:p>
    <w:p w14:paraId="709BFEA2" w14:textId="77777777" w:rsidR="00EC5D81" w:rsidRPr="006841FF" w:rsidRDefault="00EC5D81" w:rsidP="008C7549">
      <w:pPr>
        <w:spacing w:line="360" w:lineRule="auto"/>
        <w:jc w:val="left"/>
        <w:rPr>
          <w:rFonts w:cs="Times New Roman"/>
          <w:i/>
          <w:iCs/>
          <w:sz w:val="22"/>
          <w:szCs w:val="22"/>
        </w:rPr>
      </w:pPr>
    </w:p>
    <w:p w14:paraId="2B847B86" w14:textId="77777777" w:rsidR="00EC5D81" w:rsidRPr="006841FF" w:rsidRDefault="00EC5D81" w:rsidP="008C7549">
      <w:pPr>
        <w:spacing w:line="360" w:lineRule="auto"/>
        <w:jc w:val="center"/>
        <w:rPr>
          <w:rFonts w:cs="Times New Roman"/>
          <w:i/>
          <w:iCs/>
          <w:sz w:val="22"/>
          <w:szCs w:val="22"/>
        </w:rPr>
      </w:pPr>
      <w:r w:rsidRPr="006841FF">
        <w:rPr>
          <w:rFonts w:cs="Times New Roman"/>
          <w:i/>
          <w:iCs/>
          <w:sz w:val="22"/>
          <w:szCs w:val="22"/>
        </w:rPr>
        <w:t>D. Other</w:t>
      </w:r>
    </w:p>
    <w:p w14:paraId="14838219" w14:textId="77777777" w:rsidR="00EC5D81" w:rsidRPr="006841FF" w:rsidRDefault="00EC5D81" w:rsidP="008C7549">
      <w:pPr>
        <w:pStyle w:val="FootnoteText"/>
        <w:spacing w:line="360" w:lineRule="auto"/>
        <w:rPr>
          <w:rFonts w:cs="Times New Roman"/>
          <w:sz w:val="22"/>
          <w:szCs w:val="22"/>
        </w:rPr>
      </w:pPr>
      <w:r w:rsidRPr="006841FF">
        <w:rPr>
          <w:rFonts w:cs="Times New Roman"/>
          <w:sz w:val="22"/>
          <w:szCs w:val="22"/>
        </w:rPr>
        <w:t xml:space="preserve">Erskine May, </w:t>
      </w:r>
      <w:r w:rsidRPr="006841FF">
        <w:rPr>
          <w:rFonts w:cs="Times New Roman"/>
          <w:i/>
          <w:iCs/>
          <w:sz w:val="22"/>
          <w:szCs w:val="22"/>
        </w:rPr>
        <w:t>Erskine May's treatise on the law, privileges and proceedings of Parliament</w:t>
      </w:r>
      <w:r w:rsidRPr="006841FF">
        <w:rPr>
          <w:rFonts w:cs="Times New Roman"/>
          <w:sz w:val="22"/>
          <w:szCs w:val="22"/>
        </w:rPr>
        <w:t xml:space="preserve"> (UK Parliament, 25</w:t>
      </w:r>
      <w:r w:rsidRPr="006841FF">
        <w:rPr>
          <w:rFonts w:cs="Times New Roman"/>
          <w:sz w:val="22"/>
          <w:szCs w:val="22"/>
          <w:vertAlign w:val="superscript"/>
        </w:rPr>
        <w:t>th</w:t>
      </w:r>
      <w:r w:rsidRPr="006841FF">
        <w:rPr>
          <w:rFonts w:cs="Times New Roman"/>
          <w:sz w:val="22"/>
          <w:szCs w:val="22"/>
        </w:rPr>
        <w:t xml:space="preserve"> ed, 2019), pt 6, 38.31.</w:t>
      </w:r>
    </w:p>
    <w:p w14:paraId="1422B853" w14:textId="77777777" w:rsidR="00EC5D81" w:rsidRPr="006841FF" w:rsidRDefault="00EC5D81" w:rsidP="008C7549">
      <w:pPr>
        <w:pStyle w:val="FootnoteText"/>
        <w:spacing w:line="360" w:lineRule="auto"/>
        <w:rPr>
          <w:rFonts w:cs="Times New Roman"/>
          <w:sz w:val="22"/>
          <w:szCs w:val="22"/>
        </w:rPr>
      </w:pPr>
    </w:p>
    <w:p w14:paraId="13060752"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House of Commons Liaison Committee, Parliament of the United Kingdom, </w:t>
      </w:r>
      <w:proofErr w:type="gramStart"/>
      <w:r w:rsidRPr="006841FF">
        <w:rPr>
          <w:rFonts w:cs="Times New Roman"/>
          <w:i/>
          <w:iCs/>
          <w:sz w:val="22"/>
          <w:szCs w:val="22"/>
        </w:rPr>
        <w:t>The</w:t>
      </w:r>
      <w:proofErr w:type="gramEnd"/>
      <w:r w:rsidRPr="006841FF">
        <w:rPr>
          <w:rFonts w:cs="Times New Roman"/>
          <w:i/>
          <w:iCs/>
          <w:sz w:val="22"/>
          <w:szCs w:val="22"/>
        </w:rPr>
        <w:t xml:space="preserve"> effectiveness and influence of the select committee system</w:t>
      </w:r>
      <w:r w:rsidRPr="006841FF">
        <w:rPr>
          <w:rFonts w:cs="Times New Roman"/>
          <w:sz w:val="22"/>
          <w:szCs w:val="22"/>
        </w:rPr>
        <w:t xml:space="preserve"> (4</w:t>
      </w:r>
      <w:r w:rsidRPr="006841FF">
        <w:rPr>
          <w:rFonts w:cs="Times New Roman"/>
          <w:sz w:val="22"/>
          <w:szCs w:val="22"/>
          <w:vertAlign w:val="superscript"/>
        </w:rPr>
        <w:t>th</w:t>
      </w:r>
      <w:r w:rsidRPr="006841FF">
        <w:rPr>
          <w:rFonts w:cs="Times New Roman"/>
          <w:sz w:val="22"/>
          <w:szCs w:val="22"/>
        </w:rPr>
        <w:t xml:space="preserve"> Report of Session 2017-19, 9 September 2019)</w:t>
      </w:r>
    </w:p>
    <w:p w14:paraId="69538CFC" w14:textId="77777777" w:rsidR="00EC5D81" w:rsidRPr="006841FF" w:rsidRDefault="00EC5D81" w:rsidP="008C7549">
      <w:pPr>
        <w:pStyle w:val="FootnoteText"/>
        <w:spacing w:line="360" w:lineRule="auto"/>
        <w:jc w:val="left"/>
        <w:rPr>
          <w:rFonts w:cs="Times New Roman"/>
          <w:sz w:val="22"/>
          <w:szCs w:val="22"/>
        </w:rPr>
      </w:pPr>
    </w:p>
    <w:p w14:paraId="4554823A"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Legislative Assembly Committee on Law and Safety, Parliament of New South Wales, </w:t>
      </w:r>
      <w:r w:rsidRPr="006841FF">
        <w:rPr>
          <w:rFonts w:cs="Times New Roman"/>
          <w:i/>
          <w:iCs/>
          <w:sz w:val="22"/>
          <w:szCs w:val="22"/>
        </w:rPr>
        <w:t xml:space="preserve">Embedded Networks in New South Wales </w:t>
      </w:r>
      <w:r w:rsidRPr="006841FF">
        <w:rPr>
          <w:rFonts w:cs="Times New Roman"/>
          <w:sz w:val="22"/>
          <w:szCs w:val="22"/>
        </w:rPr>
        <w:t>(Report 3/57, November 2022)</w:t>
      </w:r>
    </w:p>
    <w:p w14:paraId="5614CD60" w14:textId="77777777" w:rsidR="00EC5D81" w:rsidRPr="006841FF" w:rsidRDefault="00EC5D81" w:rsidP="008C7549">
      <w:pPr>
        <w:pStyle w:val="FootnoteText"/>
        <w:spacing w:line="360" w:lineRule="auto"/>
        <w:jc w:val="left"/>
        <w:rPr>
          <w:rFonts w:cs="Times New Roman"/>
          <w:sz w:val="22"/>
          <w:szCs w:val="22"/>
        </w:rPr>
      </w:pPr>
    </w:p>
    <w:p w14:paraId="7717C1B3"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lastRenderedPageBreak/>
        <w:t xml:space="preserve">Legislative Council Portfolio Committee No. 4 – Customer Service and Natural Resources, Parliament of New South Wales Legislative Council, </w:t>
      </w:r>
      <w:r w:rsidRPr="006841FF">
        <w:rPr>
          <w:rFonts w:cs="Times New Roman"/>
          <w:i/>
          <w:iCs/>
          <w:sz w:val="22"/>
          <w:szCs w:val="22"/>
        </w:rPr>
        <w:t>Commencement of the Fisheries Management Act 2009</w:t>
      </w:r>
      <w:r w:rsidRPr="006841FF">
        <w:rPr>
          <w:rFonts w:cs="Times New Roman"/>
          <w:sz w:val="22"/>
          <w:szCs w:val="22"/>
        </w:rPr>
        <w:t>, (Report No. 55, November 2022)</w:t>
      </w:r>
    </w:p>
    <w:p w14:paraId="656EEA75" w14:textId="77777777" w:rsidR="00EC5D81" w:rsidRPr="006841FF" w:rsidRDefault="00EC5D81" w:rsidP="008C7549">
      <w:pPr>
        <w:pStyle w:val="FootnoteText"/>
        <w:spacing w:line="360" w:lineRule="auto"/>
        <w:jc w:val="left"/>
        <w:rPr>
          <w:rFonts w:cs="Times New Roman"/>
          <w:sz w:val="22"/>
          <w:szCs w:val="22"/>
        </w:rPr>
      </w:pPr>
    </w:p>
    <w:p w14:paraId="6B258336"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New South Wales Legislative Assembly, </w:t>
      </w:r>
      <w:r w:rsidRPr="006841FF">
        <w:rPr>
          <w:rFonts w:cs="Times New Roman"/>
          <w:i/>
          <w:iCs/>
          <w:sz w:val="22"/>
          <w:szCs w:val="22"/>
        </w:rPr>
        <w:t>Consolidated Standing and Sessional Orders and Resolutions of the House</w:t>
      </w:r>
      <w:r w:rsidRPr="006841FF">
        <w:rPr>
          <w:rFonts w:cs="Times New Roman"/>
          <w:sz w:val="22"/>
          <w:szCs w:val="22"/>
        </w:rPr>
        <w:t>, adopted 17 November 2022, approved by the Governor 20 February 2023</w:t>
      </w:r>
    </w:p>
    <w:p w14:paraId="1927A05C" w14:textId="77777777" w:rsidR="00EC5D81" w:rsidRPr="006841FF" w:rsidRDefault="00EC5D81" w:rsidP="008C7549">
      <w:pPr>
        <w:pStyle w:val="FootnoteText"/>
        <w:spacing w:line="360" w:lineRule="auto"/>
        <w:jc w:val="left"/>
        <w:rPr>
          <w:rFonts w:cs="Times New Roman"/>
          <w:sz w:val="22"/>
          <w:szCs w:val="22"/>
        </w:rPr>
      </w:pPr>
    </w:p>
    <w:p w14:paraId="203FB913"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New South Wales Legislative Council, </w:t>
      </w:r>
      <w:r w:rsidRPr="006841FF">
        <w:rPr>
          <w:rFonts w:cs="Times New Roman"/>
          <w:i/>
          <w:iCs/>
          <w:sz w:val="22"/>
          <w:szCs w:val="22"/>
        </w:rPr>
        <w:t>Standing Rules and Orders of the Legislative Council</w:t>
      </w:r>
      <w:r w:rsidRPr="006841FF">
        <w:rPr>
          <w:rFonts w:cs="Times New Roman"/>
          <w:sz w:val="22"/>
          <w:szCs w:val="22"/>
        </w:rPr>
        <w:t>, adopted 17 November 2022, approved by the Governor 20 February 2023</w:t>
      </w:r>
    </w:p>
    <w:p w14:paraId="47ABC49A" w14:textId="77777777" w:rsidR="00EC5D81" w:rsidRPr="006841FF" w:rsidRDefault="00EC5D81" w:rsidP="008C7549">
      <w:pPr>
        <w:pStyle w:val="FootnoteText"/>
        <w:spacing w:line="360" w:lineRule="auto"/>
        <w:jc w:val="left"/>
        <w:rPr>
          <w:rFonts w:cs="Times New Roman"/>
          <w:sz w:val="22"/>
          <w:szCs w:val="22"/>
        </w:rPr>
      </w:pPr>
    </w:p>
    <w:p w14:paraId="23A2125A"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Legislative Council Portfolio Committee No. 4 – Customer Service and Natural Resources, </w:t>
      </w:r>
      <w:r>
        <w:rPr>
          <w:rFonts w:cs="Times New Roman"/>
          <w:i/>
          <w:iCs/>
          <w:sz w:val="22"/>
          <w:szCs w:val="22"/>
        </w:rPr>
        <w:t xml:space="preserve">Uncorrected Transcript, </w:t>
      </w:r>
      <w:r w:rsidRPr="006841FF">
        <w:rPr>
          <w:rFonts w:cs="Times New Roman"/>
          <w:sz w:val="22"/>
          <w:szCs w:val="22"/>
        </w:rPr>
        <w:t xml:space="preserve">Parliament of New South Wales, Narooma, 28 July 2022, 1 (The Hon. Mick Veitch). </w:t>
      </w:r>
    </w:p>
    <w:p w14:paraId="1BA6C856" w14:textId="77777777" w:rsidR="00EC5D81" w:rsidRPr="006841FF" w:rsidRDefault="00EC5D81" w:rsidP="008C7549">
      <w:pPr>
        <w:pStyle w:val="FootnoteText"/>
        <w:spacing w:line="360" w:lineRule="auto"/>
        <w:jc w:val="left"/>
        <w:rPr>
          <w:rFonts w:cs="Times New Roman"/>
          <w:sz w:val="22"/>
          <w:szCs w:val="22"/>
        </w:rPr>
      </w:pPr>
    </w:p>
    <w:p w14:paraId="68604336" w14:textId="77777777" w:rsidR="00EC5D81" w:rsidRPr="006841FF" w:rsidRDefault="00EC5D81" w:rsidP="008C7549">
      <w:pPr>
        <w:spacing w:line="360" w:lineRule="auto"/>
        <w:jc w:val="left"/>
        <w:rPr>
          <w:rFonts w:cs="Times New Roman"/>
          <w:sz w:val="22"/>
          <w:szCs w:val="22"/>
        </w:rPr>
      </w:pPr>
      <w:r w:rsidRPr="006841FF">
        <w:rPr>
          <w:rFonts w:cs="Times New Roman"/>
          <w:sz w:val="22"/>
          <w:szCs w:val="22"/>
        </w:rPr>
        <w:t xml:space="preserve">The Scottish Parliament, </w:t>
      </w:r>
      <w:r w:rsidRPr="006841FF">
        <w:rPr>
          <w:rFonts w:cs="Times New Roman"/>
          <w:i/>
          <w:iCs/>
          <w:sz w:val="22"/>
          <w:szCs w:val="22"/>
        </w:rPr>
        <w:t>Public Engagement Strategy</w:t>
      </w:r>
      <w:r w:rsidRPr="006841FF">
        <w:rPr>
          <w:rFonts w:cs="Times New Roman"/>
          <w:sz w:val="22"/>
          <w:szCs w:val="22"/>
        </w:rPr>
        <w:t xml:space="preserve"> (Report, 2021)</w:t>
      </w:r>
    </w:p>
    <w:p w14:paraId="4FFF62C1" w14:textId="77777777" w:rsidR="00EC5D81" w:rsidRPr="006841FF" w:rsidRDefault="00EC5D81" w:rsidP="008C7549">
      <w:pPr>
        <w:pStyle w:val="FootnoteText"/>
        <w:spacing w:line="360" w:lineRule="auto"/>
        <w:jc w:val="left"/>
        <w:rPr>
          <w:rFonts w:cs="Times New Roman"/>
          <w:sz w:val="22"/>
          <w:szCs w:val="22"/>
        </w:rPr>
      </w:pPr>
      <w:r w:rsidRPr="006841FF">
        <w:rPr>
          <w:rFonts w:cs="Times New Roman"/>
          <w:sz w:val="22"/>
          <w:szCs w:val="22"/>
        </w:rPr>
        <w:t xml:space="preserve">The Scottish Parliament, 'Format of Your Submission', </w:t>
      </w:r>
      <w:r w:rsidRPr="006841FF">
        <w:rPr>
          <w:rFonts w:cs="Times New Roman"/>
          <w:i/>
          <w:iCs/>
          <w:sz w:val="22"/>
          <w:szCs w:val="22"/>
        </w:rPr>
        <w:t>Committees: Submitting Your Views to a Committee</w:t>
      </w:r>
      <w:r w:rsidRPr="006841FF">
        <w:rPr>
          <w:rFonts w:cs="Times New Roman"/>
          <w:sz w:val="22"/>
          <w:szCs w:val="22"/>
        </w:rPr>
        <w:t>, (Web Page, 2024) &lt;https://www.parliament.scot/about/information-rights/data-protection/privacy-notices/committees-submitting-your-views-to-a-committee&gt;</w:t>
      </w:r>
    </w:p>
    <w:p w14:paraId="137C74C9" w14:textId="77777777" w:rsidR="00EC5D81" w:rsidRPr="006841FF" w:rsidRDefault="00EC5D81" w:rsidP="00EC5D81">
      <w:pPr>
        <w:jc w:val="left"/>
        <w:rPr>
          <w:rFonts w:cs="Times New Roman"/>
          <w:i/>
          <w:iCs/>
          <w:sz w:val="22"/>
          <w:szCs w:val="22"/>
        </w:rPr>
      </w:pPr>
    </w:p>
    <w:p w14:paraId="39A50042" w14:textId="77777777" w:rsidR="00EC5D81" w:rsidRPr="00EC5D81" w:rsidRDefault="00EC5D81" w:rsidP="001D140D">
      <w:pPr>
        <w:spacing w:line="360" w:lineRule="auto"/>
        <w:rPr>
          <w:rFonts w:cs="Times New Roman"/>
          <w:sz w:val="24"/>
          <w:szCs w:val="24"/>
        </w:rPr>
      </w:pPr>
    </w:p>
    <w:sectPr w:rsidR="00EC5D81" w:rsidRPr="00EC5D81" w:rsidSect="005D6EE3">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7BF9" w14:textId="77777777" w:rsidR="00692D05" w:rsidRDefault="00692D05" w:rsidP="00692D05">
      <w:pPr>
        <w:spacing w:after="0"/>
      </w:pPr>
      <w:r>
        <w:separator/>
      </w:r>
    </w:p>
  </w:endnote>
  <w:endnote w:type="continuationSeparator" w:id="0">
    <w:p w14:paraId="1F9CF0CC" w14:textId="77777777" w:rsidR="00692D05" w:rsidRDefault="00692D05" w:rsidP="00692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526195"/>
      <w:docPartObj>
        <w:docPartGallery w:val="Page Numbers (Bottom of Page)"/>
        <w:docPartUnique/>
      </w:docPartObj>
    </w:sdtPr>
    <w:sdtEndPr>
      <w:rPr>
        <w:noProof/>
      </w:rPr>
    </w:sdtEndPr>
    <w:sdtContent>
      <w:p w14:paraId="1901DD1F" w14:textId="755E398A" w:rsidR="001D140D" w:rsidRDefault="001D14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E948FB" w14:textId="77777777" w:rsidR="001D140D" w:rsidRDefault="001D1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B1B0" w14:textId="77777777" w:rsidR="00692D05" w:rsidRDefault="00692D05" w:rsidP="00692D05">
      <w:pPr>
        <w:spacing w:after="0"/>
      </w:pPr>
      <w:r>
        <w:separator/>
      </w:r>
    </w:p>
  </w:footnote>
  <w:footnote w:type="continuationSeparator" w:id="0">
    <w:p w14:paraId="0B5FA01C" w14:textId="77777777" w:rsidR="00692D05" w:rsidRDefault="00692D05" w:rsidP="00692D05">
      <w:pPr>
        <w:spacing w:after="0"/>
      </w:pPr>
      <w:r>
        <w:continuationSeparator/>
      </w:r>
    </w:p>
  </w:footnote>
  <w:footnote w:id="1">
    <w:p w14:paraId="6C678A49" w14:textId="2F6745B0" w:rsidR="006F6A0F" w:rsidRPr="00744CE8" w:rsidRDefault="006F6A0F"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0" w:name="_Hlk157426373"/>
      <w:r w:rsidRPr="00744CE8">
        <w:rPr>
          <w:rFonts w:asciiTheme="minorHAnsi" w:hAnsiTheme="minorHAnsi" w:cstheme="minorHAnsi"/>
        </w:rPr>
        <w:t xml:space="preserve">Hugh </w:t>
      </w:r>
      <w:proofErr w:type="spellStart"/>
      <w:r w:rsidRPr="00744CE8">
        <w:rPr>
          <w:rFonts w:asciiTheme="minorHAnsi" w:hAnsiTheme="minorHAnsi" w:cstheme="minorHAnsi"/>
        </w:rPr>
        <w:t>Bochel</w:t>
      </w:r>
      <w:proofErr w:type="spellEnd"/>
      <w:r w:rsidRPr="00744CE8">
        <w:rPr>
          <w:rFonts w:asciiTheme="minorHAnsi" w:hAnsiTheme="minorHAnsi" w:cstheme="minorHAnsi"/>
        </w:rPr>
        <w:t xml:space="preserve"> and Anouk Berthier, 'A Place at the Table? Parliamentary Committees, Witnesses and the Scrutiny of Government Actions and Legislation' (2020) 19(1) </w:t>
      </w:r>
      <w:r w:rsidRPr="00744CE8">
        <w:rPr>
          <w:rFonts w:asciiTheme="minorHAnsi" w:hAnsiTheme="minorHAnsi" w:cstheme="minorHAnsi"/>
          <w:i/>
          <w:iCs/>
        </w:rPr>
        <w:t>Social Policy &amp; Society</w:t>
      </w:r>
      <w:r w:rsidRPr="00744CE8">
        <w:rPr>
          <w:rFonts w:asciiTheme="minorHAnsi" w:hAnsiTheme="minorHAnsi" w:cstheme="minorHAnsi"/>
        </w:rPr>
        <w:t xml:space="preserve"> 1</w:t>
      </w:r>
      <w:bookmarkEnd w:id="0"/>
      <w:r w:rsidRPr="00744CE8">
        <w:rPr>
          <w:rFonts w:asciiTheme="minorHAnsi" w:hAnsiTheme="minorHAnsi" w:cstheme="minorHAnsi"/>
        </w:rPr>
        <w:t xml:space="preserve">, 9; </w:t>
      </w:r>
      <w:bookmarkStart w:id="1" w:name="_Hlk157426416"/>
      <w:r w:rsidRPr="00744CE8">
        <w:rPr>
          <w:rFonts w:asciiTheme="minorHAnsi" w:hAnsiTheme="minorHAnsi" w:cstheme="minorHAnsi"/>
        </w:rPr>
        <w:t xml:space="preserve">Laura </w:t>
      </w:r>
      <w:proofErr w:type="spellStart"/>
      <w:r w:rsidRPr="00744CE8">
        <w:rPr>
          <w:rFonts w:asciiTheme="minorHAnsi" w:hAnsiTheme="minorHAnsi" w:cstheme="minorHAnsi"/>
        </w:rPr>
        <w:t>Chaqués-Bonafont</w:t>
      </w:r>
      <w:proofErr w:type="spellEnd"/>
      <w:r w:rsidRPr="00744CE8">
        <w:rPr>
          <w:rFonts w:asciiTheme="minorHAnsi" w:hAnsiTheme="minorHAnsi" w:cstheme="minorHAnsi"/>
        </w:rPr>
        <w:t xml:space="preserve"> and Luz M. Muñoz Márquez, 'Explaining interest group access to parliamentary committees' (2016) 39(6) </w:t>
      </w:r>
      <w:r w:rsidRPr="00744CE8">
        <w:rPr>
          <w:rFonts w:asciiTheme="minorHAnsi" w:hAnsiTheme="minorHAnsi" w:cstheme="minorHAnsi"/>
          <w:i/>
          <w:iCs/>
        </w:rPr>
        <w:t>West European Politics</w:t>
      </w:r>
      <w:r w:rsidRPr="00744CE8">
        <w:rPr>
          <w:rFonts w:asciiTheme="minorHAnsi" w:hAnsiTheme="minorHAnsi" w:cstheme="minorHAnsi"/>
        </w:rPr>
        <w:t xml:space="preserve"> 1276</w:t>
      </w:r>
      <w:bookmarkEnd w:id="1"/>
      <w:r w:rsidRPr="00744CE8">
        <w:rPr>
          <w:rFonts w:asciiTheme="minorHAnsi" w:hAnsiTheme="minorHAnsi" w:cstheme="minorHAnsi"/>
        </w:rPr>
        <w:t xml:space="preserve">; </w:t>
      </w:r>
      <w:bookmarkStart w:id="2" w:name="_Hlk157426481"/>
      <w:r w:rsidRPr="00744CE8">
        <w:rPr>
          <w:rFonts w:asciiTheme="minorHAnsi" w:hAnsiTheme="minorHAnsi" w:cstheme="minorHAnsi"/>
        </w:rPr>
        <w:t xml:space="preserve">Ian Marsh and Darren Halpin, 'Parliamentary Committees and Inquiries', in Brian Head and Kate Crowley (eds), </w:t>
      </w:r>
      <w:r w:rsidRPr="00744CE8">
        <w:rPr>
          <w:rFonts w:asciiTheme="minorHAnsi" w:hAnsiTheme="minorHAnsi" w:cstheme="minorHAnsi"/>
          <w:i/>
          <w:iCs/>
        </w:rPr>
        <w:t>Policy Analysis in Australia</w:t>
      </w:r>
      <w:r w:rsidRPr="00744CE8">
        <w:rPr>
          <w:rFonts w:asciiTheme="minorHAnsi" w:hAnsiTheme="minorHAnsi" w:cstheme="minorHAnsi"/>
        </w:rPr>
        <w:t xml:space="preserve"> (Bristol University Press, Policy Press, 2015) 137</w:t>
      </w:r>
      <w:bookmarkEnd w:id="2"/>
      <w:r w:rsidRPr="00744CE8">
        <w:rPr>
          <w:rFonts w:asciiTheme="minorHAnsi" w:hAnsiTheme="minorHAnsi" w:cstheme="minorHAnsi"/>
        </w:rPr>
        <w:t xml:space="preserve">, 144-147; </w:t>
      </w:r>
      <w:bookmarkStart w:id="3" w:name="_Hlk157426528"/>
      <w:r w:rsidRPr="00744CE8">
        <w:rPr>
          <w:rFonts w:asciiTheme="minorHAnsi" w:hAnsiTheme="minorHAnsi" w:cstheme="minorHAnsi"/>
        </w:rPr>
        <w:t xml:space="preserve">Andrew Ray, Arabella Young and Will J. Grant, 'Analysing the types of evidence used by Australian federal parliamentary committees' (2022) 81(1) </w:t>
      </w:r>
      <w:r w:rsidRPr="00744CE8">
        <w:rPr>
          <w:rFonts w:asciiTheme="minorHAnsi" w:hAnsiTheme="minorHAnsi" w:cstheme="minorHAnsi"/>
          <w:i/>
          <w:iCs/>
        </w:rPr>
        <w:t>Australian Journal of Public Administration</w:t>
      </w:r>
      <w:r w:rsidRPr="00744CE8">
        <w:rPr>
          <w:rFonts w:asciiTheme="minorHAnsi" w:hAnsiTheme="minorHAnsi" w:cstheme="minorHAnsi"/>
        </w:rPr>
        <w:t xml:space="preserve"> 279</w:t>
      </w:r>
      <w:bookmarkEnd w:id="3"/>
      <w:r w:rsidRPr="00744CE8">
        <w:rPr>
          <w:rFonts w:asciiTheme="minorHAnsi" w:hAnsiTheme="minorHAnsi" w:cstheme="minorHAnsi"/>
        </w:rPr>
        <w:t>, 290.</w:t>
      </w:r>
    </w:p>
  </w:footnote>
  <w:footnote w:id="2">
    <w:p w14:paraId="3108B5CC" w14:textId="62A4C16F" w:rsidR="00A82C31" w:rsidRPr="00744CE8" w:rsidRDefault="00A82C31"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4" w:name="_Hlk157426604"/>
      <w:r w:rsidR="006F6A0F" w:rsidRPr="00744CE8">
        <w:rPr>
          <w:rFonts w:asciiTheme="minorHAnsi" w:hAnsiTheme="minorHAnsi" w:cstheme="minorHAnsi"/>
        </w:rPr>
        <w:t>Marc Geddes, 'Good Evidence: How do Select Committees Use Evidence to Support their Work' (Parliamentary Academic Fellowship Scheme project, University of Edinburgh, January 2023)</w:t>
      </w:r>
      <w:bookmarkEnd w:id="4"/>
      <w:r w:rsidR="006F6A0F" w:rsidRPr="00744CE8">
        <w:rPr>
          <w:rFonts w:asciiTheme="minorHAnsi" w:hAnsiTheme="minorHAnsi" w:cstheme="minorHAnsi"/>
        </w:rPr>
        <w:t xml:space="preserve">, 3; </w:t>
      </w:r>
      <w:bookmarkStart w:id="5" w:name="_Hlk157426643"/>
      <w:r w:rsidR="006F6A0F" w:rsidRPr="00744CE8">
        <w:rPr>
          <w:rFonts w:asciiTheme="minorHAnsi" w:hAnsiTheme="minorHAnsi" w:cstheme="minorHAnsi"/>
        </w:rPr>
        <w:t xml:space="preserve">Danielle Beswick and Stephen </w:t>
      </w:r>
      <w:proofErr w:type="spellStart"/>
      <w:r w:rsidR="006F6A0F" w:rsidRPr="00744CE8">
        <w:rPr>
          <w:rFonts w:asciiTheme="minorHAnsi" w:hAnsiTheme="minorHAnsi" w:cstheme="minorHAnsi"/>
        </w:rPr>
        <w:t>Elstub</w:t>
      </w:r>
      <w:proofErr w:type="spellEnd"/>
      <w:r w:rsidR="006F6A0F" w:rsidRPr="00744CE8">
        <w:rPr>
          <w:rFonts w:asciiTheme="minorHAnsi" w:hAnsiTheme="minorHAnsi" w:cstheme="minorHAnsi"/>
        </w:rPr>
        <w:t xml:space="preserve">, 'Between Diversity, Representation and ‘Best Evidence’: Rethinking Select Committee Evidence-Gathering Practice' (2019) 72 </w:t>
      </w:r>
      <w:r w:rsidR="006F6A0F" w:rsidRPr="00744CE8">
        <w:rPr>
          <w:rFonts w:asciiTheme="minorHAnsi" w:hAnsiTheme="minorHAnsi" w:cstheme="minorHAnsi"/>
          <w:i/>
          <w:iCs/>
        </w:rPr>
        <w:t>Parliamentary Affairs</w:t>
      </w:r>
      <w:r w:rsidR="006F6A0F" w:rsidRPr="00744CE8">
        <w:rPr>
          <w:rFonts w:asciiTheme="minorHAnsi" w:hAnsiTheme="minorHAnsi" w:cstheme="minorHAnsi"/>
        </w:rPr>
        <w:t xml:space="preserve"> 945</w:t>
      </w:r>
      <w:bookmarkEnd w:id="5"/>
      <w:r w:rsidR="006F6A0F" w:rsidRPr="00744CE8">
        <w:rPr>
          <w:rFonts w:asciiTheme="minorHAnsi" w:hAnsiTheme="minorHAnsi" w:cstheme="minorHAnsi"/>
        </w:rPr>
        <w:t>, 947</w:t>
      </w:r>
      <w:r w:rsidR="00744CE8" w:rsidRPr="00744CE8">
        <w:rPr>
          <w:rFonts w:asciiTheme="minorHAnsi" w:hAnsiTheme="minorHAnsi" w:cstheme="minorHAnsi"/>
        </w:rPr>
        <w:t>.</w:t>
      </w:r>
    </w:p>
  </w:footnote>
  <w:footnote w:id="3">
    <w:p w14:paraId="36332C5A" w14:textId="0B41E761" w:rsidR="00A82C31" w:rsidRPr="00744CE8" w:rsidRDefault="00A82C31"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Geddes</w:t>
      </w:r>
      <w:r w:rsidR="00744CE8">
        <w:rPr>
          <w:rFonts w:asciiTheme="minorHAnsi" w:hAnsiTheme="minorHAnsi" w:cstheme="minorHAnsi"/>
        </w:rPr>
        <w:t>, 'Good Evidence'</w:t>
      </w:r>
      <w:r w:rsidRPr="00744CE8">
        <w:rPr>
          <w:rFonts w:asciiTheme="minorHAnsi" w:hAnsiTheme="minorHAnsi" w:cstheme="minorHAnsi"/>
        </w:rPr>
        <w:t xml:space="preserve"> </w:t>
      </w:r>
      <w:r w:rsidR="006F6A0F" w:rsidRPr="00744CE8">
        <w:rPr>
          <w:rFonts w:asciiTheme="minorHAnsi" w:hAnsiTheme="minorHAnsi" w:cstheme="minorHAnsi"/>
        </w:rPr>
        <w:t xml:space="preserve">(n </w:t>
      </w:r>
      <w:r w:rsidR="00744CE8" w:rsidRPr="00744CE8">
        <w:rPr>
          <w:rFonts w:asciiTheme="minorHAnsi" w:hAnsiTheme="minorHAnsi" w:cstheme="minorHAnsi"/>
        </w:rPr>
        <w:t>2</w:t>
      </w:r>
      <w:r w:rsidR="006F6A0F" w:rsidRPr="00744CE8">
        <w:rPr>
          <w:rFonts w:asciiTheme="minorHAnsi" w:hAnsiTheme="minorHAnsi" w:cstheme="minorHAnsi"/>
        </w:rPr>
        <w:t>) 3.</w:t>
      </w:r>
    </w:p>
  </w:footnote>
  <w:footnote w:id="4">
    <w:p w14:paraId="643938FB" w14:textId="39FD9A6D" w:rsidR="00A82C31" w:rsidRPr="00744CE8" w:rsidRDefault="00A82C31"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proofErr w:type="spellStart"/>
      <w:r w:rsidR="006F6A0F" w:rsidRPr="00744CE8">
        <w:rPr>
          <w:rFonts w:asciiTheme="minorHAnsi" w:hAnsiTheme="minorHAnsi" w:cstheme="minorHAnsi"/>
        </w:rPr>
        <w:t>Bochel</w:t>
      </w:r>
      <w:proofErr w:type="spellEnd"/>
      <w:r w:rsidR="006F6A0F" w:rsidRPr="00744CE8">
        <w:rPr>
          <w:rFonts w:asciiTheme="minorHAnsi" w:hAnsiTheme="minorHAnsi" w:cstheme="minorHAnsi"/>
        </w:rPr>
        <w:t xml:space="preserve"> and Berthier (n </w:t>
      </w:r>
      <w:r w:rsidR="00744CE8" w:rsidRPr="00744CE8">
        <w:rPr>
          <w:rFonts w:asciiTheme="minorHAnsi" w:hAnsiTheme="minorHAnsi" w:cstheme="minorHAnsi"/>
        </w:rPr>
        <w:t>1</w:t>
      </w:r>
      <w:r w:rsidR="006F6A0F" w:rsidRPr="00744CE8">
        <w:rPr>
          <w:rFonts w:asciiTheme="minorHAnsi" w:hAnsiTheme="minorHAnsi" w:cstheme="minorHAnsi"/>
        </w:rPr>
        <w:t>)</w:t>
      </w:r>
      <w:r w:rsidR="00522CBF" w:rsidRPr="00744CE8">
        <w:rPr>
          <w:rFonts w:asciiTheme="minorHAnsi" w:hAnsiTheme="minorHAnsi" w:cstheme="minorHAnsi"/>
        </w:rPr>
        <w:t xml:space="preserve"> </w:t>
      </w:r>
      <w:r w:rsidRPr="00744CE8">
        <w:rPr>
          <w:rFonts w:asciiTheme="minorHAnsi" w:hAnsiTheme="minorHAnsi" w:cstheme="minorHAnsi"/>
        </w:rPr>
        <w:t>6, 9</w:t>
      </w:r>
      <w:r w:rsidR="006F6A0F" w:rsidRPr="00744CE8">
        <w:rPr>
          <w:rFonts w:asciiTheme="minorHAnsi" w:hAnsiTheme="minorHAnsi" w:cstheme="minorHAnsi"/>
        </w:rPr>
        <w:t>.</w:t>
      </w:r>
    </w:p>
  </w:footnote>
  <w:footnote w:id="5">
    <w:p w14:paraId="193D4973" w14:textId="39DAD495" w:rsidR="00A82C31" w:rsidRPr="00744CE8" w:rsidRDefault="00A82C31"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r w:rsidR="006F6A0F" w:rsidRPr="00744CE8">
        <w:rPr>
          <w:rFonts w:asciiTheme="minorHAnsi" w:hAnsiTheme="minorHAnsi" w:cstheme="minorHAnsi"/>
        </w:rPr>
        <w:t xml:space="preserve">Marc </w:t>
      </w:r>
      <w:bookmarkStart w:id="6" w:name="_Hlk157426805"/>
      <w:r w:rsidR="006F6A0F" w:rsidRPr="00744CE8">
        <w:rPr>
          <w:rFonts w:asciiTheme="minorHAnsi" w:hAnsiTheme="minorHAnsi" w:cstheme="minorHAnsi"/>
        </w:rPr>
        <w:t xml:space="preserve">Geddes, 'The Web of Belief Around 'Evidence' in Legislatures: The Case of Select Committees in the UK House of Commons' (2021) 99 </w:t>
      </w:r>
      <w:r w:rsidR="006F6A0F" w:rsidRPr="00744CE8">
        <w:rPr>
          <w:rFonts w:asciiTheme="minorHAnsi" w:hAnsiTheme="minorHAnsi" w:cstheme="minorHAnsi"/>
          <w:i/>
          <w:iCs/>
        </w:rPr>
        <w:t>Public Administration</w:t>
      </w:r>
      <w:r w:rsidR="006F6A0F" w:rsidRPr="00744CE8">
        <w:rPr>
          <w:rFonts w:asciiTheme="minorHAnsi" w:hAnsiTheme="minorHAnsi" w:cstheme="minorHAnsi"/>
        </w:rPr>
        <w:t xml:space="preserve"> 40, 41. </w:t>
      </w:r>
    </w:p>
    <w:bookmarkEnd w:id="6"/>
  </w:footnote>
  <w:footnote w:id="6">
    <w:p w14:paraId="3EEC4B83" w14:textId="51BF6FCD" w:rsidR="001D140D" w:rsidRPr="00744CE8" w:rsidRDefault="001D140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See, </w:t>
      </w:r>
      <w:proofErr w:type="spellStart"/>
      <w:r w:rsidRPr="00744CE8">
        <w:rPr>
          <w:rFonts w:asciiTheme="minorHAnsi" w:hAnsiTheme="minorHAnsi" w:cstheme="minorHAnsi"/>
        </w:rPr>
        <w:t>eg</w:t>
      </w:r>
      <w:proofErr w:type="spellEnd"/>
      <w:r w:rsidRPr="00744CE8">
        <w:rPr>
          <w:rFonts w:asciiTheme="minorHAnsi" w:hAnsiTheme="minorHAnsi" w:cstheme="minorHAnsi"/>
        </w:rPr>
        <w:t xml:space="preserve">, </w:t>
      </w:r>
      <w:bookmarkStart w:id="7" w:name="_Hlk157426855"/>
      <w:r w:rsidRPr="00744CE8">
        <w:rPr>
          <w:rFonts w:asciiTheme="minorHAnsi" w:hAnsiTheme="minorHAnsi" w:cstheme="minorHAnsi"/>
          <w:i/>
          <w:iCs/>
        </w:rPr>
        <w:t>Parliamentary Committees Act 2003</w:t>
      </w:r>
      <w:r w:rsidRPr="00744CE8">
        <w:rPr>
          <w:rFonts w:asciiTheme="minorHAnsi" w:hAnsiTheme="minorHAnsi" w:cstheme="minorHAnsi"/>
        </w:rPr>
        <w:t xml:space="preserve"> (Vic)</w:t>
      </w:r>
      <w:bookmarkEnd w:id="7"/>
      <w:r w:rsidRPr="00744CE8">
        <w:rPr>
          <w:rFonts w:asciiTheme="minorHAnsi" w:hAnsiTheme="minorHAnsi" w:cstheme="minorHAnsi"/>
        </w:rPr>
        <w:t xml:space="preserve">, s 28(1); </w:t>
      </w:r>
      <w:bookmarkStart w:id="8" w:name="_Hlk157426872"/>
      <w:r w:rsidRPr="00744CE8">
        <w:rPr>
          <w:rFonts w:asciiTheme="minorHAnsi" w:hAnsiTheme="minorHAnsi" w:cstheme="minorHAnsi"/>
          <w:i/>
          <w:iCs/>
        </w:rPr>
        <w:t xml:space="preserve">Parliament of Queensland Act 2001 </w:t>
      </w:r>
      <w:r w:rsidRPr="00744CE8">
        <w:rPr>
          <w:rFonts w:asciiTheme="minorHAnsi" w:hAnsiTheme="minorHAnsi" w:cstheme="minorHAnsi"/>
        </w:rPr>
        <w:t>(Qld)</w:t>
      </w:r>
      <w:bookmarkEnd w:id="8"/>
      <w:r w:rsidRPr="00744CE8">
        <w:rPr>
          <w:rFonts w:asciiTheme="minorHAnsi" w:hAnsiTheme="minorHAnsi" w:cstheme="minorHAnsi"/>
        </w:rPr>
        <w:t xml:space="preserve"> s 25.</w:t>
      </w:r>
    </w:p>
  </w:footnote>
  <w:footnote w:id="7">
    <w:p w14:paraId="60881710" w14:textId="044A0DE0" w:rsidR="001D140D" w:rsidRPr="00744CE8" w:rsidRDefault="001D140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9" w:name="_Hlk157426909"/>
      <w:r w:rsidRPr="00744CE8">
        <w:rPr>
          <w:rFonts w:asciiTheme="minorHAnsi" w:hAnsiTheme="minorHAnsi" w:cstheme="minorHAnsi"/>
        </w:rPr>
        <w:t xml:space="preserve">New South Wales Legislative Assembly, </w:t>
      </w:r>
      <w:r w:rsidRPr="00744CE8">
        <w:rPr>
          <w:rFonts w:asciiTheme="minorHAnsi" w:hAnsiTheme="minorHAnsi" w:cstheme="minorHAnsi"/>
          <w:i/>
          <w:iCs/>
        </w:rPr>
        <w:t>Consolidated Standing and Sessional Orders and Resolutions of the House</w:t>
      </w:r>
      <w:r w:rsidRPr="00744CE8">
        <w:rPr>
          <w:rFonts w:asciiTheme="minorHAnsi" w:hAnsiTheme="minorHAnsi" w:cstheme="minorHAnsi"/>
        </w:rPr>
        <w:t>, adopted 17 November 2022, approved by the Governor 20 February 2023</w:t>
      </w:r>
      <w:bookmarkEnd w:id="9"/>
      <w:r w:rsidRPr="00744CE8">
        <w:rPr>
          <w:rFonts w:asciiTheme="minorHAnsi" w:hAnsiTheme="minorHAnsi" w:cstheme="minorHAnsi"/>
        </w:rPr>
        <w:t xml:space="preserve">, 80; See, </w:t>
      </w:r>
      <w:proofErr w:type="spellStart"/>
      <w:r w:rsidRPr="00744CE8">
        <w:rPr>
          <w:rFonts w:asciiTheme="minorHAnsi" w:hAnsiTheme="minorHAnsi" w:cstheme="minorHAnsi"/>
        </w:rPr>
        <w:t>eg</w:t>
      </w:r>
      <w:proofErr w:type="spellEnd"/>
      <w:r w:rsidRPr="00744CE8">
        <w:rPr>
          <w:rFonts w:asciiTheme="minorHAnsi" w:hAnsiTheme="minorHAnsi" w:cstheme="minorHAnsi"/>
        </w:rPr>
        <w:t xml:space="preserve">, </w:t>
      </w:r>
      <w:bookmarkStart w:id="10" w:name="_Hlk157426891"/>
      <w:r w:rsidRPr="00744CE8">
        <w:rPr>
          <w:rFonts w:asciiTheme="minorHAnsi" w:hAnsiTheme="minorHAnsi" w:cstheme="minorHAnsi"/>
          <w:i/>
          <w:iCs/>
        </w:rPr>
        <w:t xml:space="preserve">Independent Commission Against Corruption Act 1988 </w:t>
      </w:r>
      <w:r w:rsidRPr="00744CE8">
        <w:rPr>
          <w:rFonts w:asciiTheme="minorHAnsi" w:hAnsiTheme="minorHAnsi" w:cstheme="minorHAnsi"/>
        </w:rPr>
        <w:t>(NSW), s 69(1)</w:t>
      </w:r>
      <w:bookmarkEnd w:id="10"/>
      <w:r w:rsidRPr="00744CE8">
        <w:rPr>
          <w:rFonts w:asciiTheme="minorHAnsi" w:hAnsiTheme="minorHAnsi" w:cstheme="minorHAnsi"/>
        </w:rPr>
        <w:t>.</w:t>
      </w:r>
    </w:p>
  </w:footnote>
  <w:footnote w:id="8">
    <w:p w14:paraId="56567ED2" w14:textId="19F9D088" w:rsidR="001D140D" w:rsidRPr="00744CE8" w:rsidRDefault="001D140D" w:rsidP="001D140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1" w:name="_Hlk157427102"/>
      <w:r w:rsidRPr="00744CE8">
        <w:rPr>
          <w:rFonts w:asciiTheme="minorHAnsi" w:hAnsiTheme="minorHAnsi" w:cstheme="minorHAnsi"/>
        </w:rPr>
        <w:t>N</w:t>
      </w:r>
      <w:r w:rsidR="00744CE8">
        <w:rPr>
          <w:rFonts w:asciiTheme="minorHAnsi" w:hAnsiTheme="minorHAnsi" w:cstheme="minorHAnsi"/>
        </w:rPr>
        <w:t xml:space="preserve">ew </w:t>
      </w:r>
      <w:r w:rsidRPr="00744CE8">
        <w:rPr>
          <w:rFonts w:asciiTheme="minorHAnsi" w:hAnsiTheme="minorHAnsi" w:cstheme="minorHAnsi"/>
        </w:rPr>
        <w:t>S</w:t>
      </w:r>
      <w:r w:rsidR="00744CE8">
        <w:rPr>
          <w:rFonts w:asciiTheme="minorHAnsi" w:hAnsiTheme="minorHAnsi" w:cstheme="minorHAnsi"/>
        </w:rPr>
        <w:t xml:space="preserve">outh </w:t>
      </w:r>
      <w:r w:rsidRPr="00744CE8">
        <w:rPr>
          <w:rFonts w:asciiTheme="minorHAnsi" w:hAnsiTheme="minorHAnsi" w:cstheme="minorHAnsi"/>
        </w:rPr>
        <w:t>W</w:t>
      </w:r>
      <w:r w:rsidR="00744CE8">
        <w:rPr>
          <w:rFonts w:asciiTheme="minorHAnsi" w:hAnsiTheme="minorHAnsi" w:cstheme="minorHAnsi"/>
        </w:rPr>
        <w:t>ales</w:t>
      </w:r>
      <w:r w:rsidRPr="00744CE8">
        <w:rPr>
          <w:rFonts w:asciiTheme="minorHAnsi" w:hAnsiTheme="minorHAnsi" w:cstheme="minorHAnsi"/>
        </w:rPr>
        <w:t xml:space="preserve"> Legislative Council, </w:t>
      </w:r>
      <w:r w:rsidRPr="00744CE8">
        <w:rPr>
          <w:rFonts w:asciiTheme="minorHAnsi" w:hAnsiTheme="minorHAnsi" w:cstheme="minorHAnsi"/>
          <w:i/>
          <w:iCs/>
        </w:rPr>
        <w:t>Standing Rules and Orders of the Legislative Council</w:t>
      </w:r>
      <w:r w:rsidRPr="00744CE8">
        <w:rPr>
          <w:rFonts w:asciiTheme="minorHAnsi" w:hAnsiTheme="minorHAnsi" w:cstheme="minorHAnsi"/>
        </w:rPr>
        <w:t>, adopted 17 November 2022, approved by the Governor 20 February 2023</w:t>
      </w:r>
      <w:bookmarkEnd w:id="11"/>
      <w:r w:rsidRPr="00744CE8">
        <w:rPr>
          <w:rFonts w:asciiTheme="minorHAnsi" w:hAnsiTheme="minorHAnsi" w:cstheme="minorHAnsi"/>
        </w:rPr>
        <w:t>, 76.</w:t>
      </w:r>
    </w:p>
  </w:footnote>
  <w:footnote w:id="9">
    <w:p w14:paraId="5DBCF529" w14:textId="16ACE9AB" w:rsidR="001D140D" w:rsidRPr="00744CE8" w:rsidRDefault="001D140D" w:rsidP="001D140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2" w:name="_Hlk157427307"/>
      <w:r w:rsidR="001048EC">
        <w:rPr>
          <w:rFonts w:asciiTheme="minorHAnsi" w:hAnsiTheme="minorHAnsi" w:cstheme="minorHAnsi"/>
        </w:rPr>
        <w:t xml:space="preserve">E.g. </w:t>
      </w:r>
      <w:r w:rsidRPr="00744CE8">
        <w:rPr>
          <w:rFonts w:asciiTheme="minorHAnsi" w:hAnsiTheme="minorHAnsi" w:cstheme="minorHAnsi"/>
          <w:i/>
          <w:iCs/>
        </w:rPr>
        <w:t xml:space="preserve">Kazal v Independent Commission Against Corruption </w:t>
      </w:r>
      <w:r w:rsidRPr="00744CE8">
        <w:rPr>
          <w:rFonts w:asciiTheme="minorHAnsi" w:hAnsiTheme="minorHAnsi" w:cstheme="minorHAnsi"/>
        </w:rPr>
        <w:t>[2013] NSWSC 53 [32]</w:t>
      </w:r>
      <w:bookmarkEnd w:id="12"/>
      <w:r w:rsidRPr="00744CE8">
        <w:rPr>
          <w:rFonts w:asciiTheme="minorHAnsi" w:hAnsiTheme="minorHAnsi" w:cstheme="minorHAnsi"/>
        </w:rPr>
        <w:t>.</w:t>
      </w:r>
    </w:p>
  </w:footnote>
  <w:footnote w:id="10">
    <w:p w14:paraId="2E07C9CF" w14:textId="01D18CE8" w:rsidR="006F6A0F" w:rsidRPr="00744CE8" w:rsidRDefault="006F6A0F"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3" w:name="_Hlk157427207"/>
      <w:r w:rsidRPr="00744CE8">
        <w:rPr>
          <w:rFonts w:asciiTheme="minorHAnsi" w:hAnsiTheme="minorHAnsi" w:cstheme="minorHAnsi"/>
        </w:rPr>
        <w:t xml:space="preserve">Hock Lai Ho, 'The Legal Concept of Evidence' [2021] (Winter) </w:t>
      </w:r>
      <w:r w:rsidRPr="00744CE8">
        <w:rPr>
          <w:rFonts w:asciiTheme="minorHAnsi" w:hAnsiTheme="minorHAnsi" w:cstheme="minorHAnsi"/>
          <w:i/>
          <w:iCs/>
        </w:rPr>
        <w:t xml:space="preserve">Stanford Encyclopedia of Philosophy </w:t>
      </w:r>
      <w:r w:rsidRPr="00744CE8">
        <w:rPr>
          <w:rFonts w:asciiTheme="minorHAnsi" w:hAnsiTheme="minorHAnsi" w:cstheme="minorHAnsi"/>
        </w:rPr>
        <w:t>&lt;https://plato.stanford.edu/entries/evidence-legal/&gt;.</w:t>
      </w:r>
      <w:bookmarkEnd w:id="13"/>
    </w:p>
  </w:footnote>
  <w:footnote w:id="11">
    <w:p w14:paraId="069D752D" w14:textId="74A466FD" w:rsidR="001D140D" w:rsidRPr="00744CE8" w:rsidRDefault="001D140D">
      <w:pPr>
        <w:pStyle w:val="FootnoteText"/>
        <w:rPr>
          <w:rFonts w:asciiTheme="minorHAnsi" w:hAnsiTheme="minorHAnsi" w:cstheme="minorHAnsi"/>
          <w:i/>
          <w:iCs/>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4" w:name="_Hlk157427234"/>
      <w:r w:rsidRPr="00744CE8">
        <w:rPr>
          <w:rFonts w:asciiTheme="minorHAnsi" w:hAnsiTheme="minorHAnsi" w:cstheme="minorHAnsi"/>
        </w:rPr>
        <w:t xml:space="preserve">Erskine May, </w:t>
      </w:r>
      <w:r w:rsidRPr="00744CE8">
        <w:rPr>
          <w:rFonts w:asciiTheme="minorHAnsi" w:hAnsiTheme="minorHAnsi" w:cstheme="minorHAnsi"/>
          <w:i/>
          <w:iCs/>
        </w:rPr>
        <w:t>Erskine May's treatise on the law, privileges and proceedings of Parliament</w:t>
      </w:r>
      <w:r w:rsidRPr="00744CE8">
        <w:rPr>
          <w:rFonts w:asciiTheme="minorHAnsi" w:hAnsiTheme="minorHAnsi" w:cstheme="minorHAnsi"/>
        </w:rPr>
        <w:t xml:space="preserve"> (UK Parliament, 25</w:t>
      </w:r>
      <w:r w:rsidRPr="00744CE8">
        <w:rPr>
          <w:rFonts w:asciiTheme="minorHAnsi" w:hAnsiTheme="minorHAnsi" w:cstheme="minorHAnsi"/>
          <w:vertAlign w:val="superscript"/>
        </w:rPr>
        <w:t>th</w:t>
      </w:r>
      <w:r w:rsidRPr="00744CE8">
        <w:rPr>
          <w:rFonts w:asciiTheme="minorHAnsi" w:hAnsiTheme="minorHAnsi" w:cstheme="minorHAnsi"/>
        </w:rPr>
        <w:t xml:space="preserve"> ed, 2019), pt 6, 38.31.</w:t>
      </w:r>
    </w:p>
    <w:bookmarkEnd w:id="14"/>
  </w:footnote>
  <w:footnote w:id="12">
    <w:p w14:paraId="3447936F" w14:textId="00B6C2CE" w:rsidR="006257C2" w:rsidRPr="00744CE8" w:rsidRDefault="006257C2"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r w:rsidR="00744CE8">
        <w:rPr>
          <w:rFonts w:asciiTheme="minorHAnsi" w:hAnsiTheme="minorHAnsi" w:cstheme="minorHAnsi"/>
        </w:rPr>
        <w:t xml:space="preserve">See, </w:t>
      </w:r>
      <w:proofErr w:type="spellStart"/>
      <w:r w:rsidR="00744CE8">
        <w:rPr>
          <w:rFonts w:asciiTheme="minorHAnsi" w:hAnsiTheme="minorHAnsi" w:cstheme="minorHAnsi"/>
        </w:rPr>
        <w:t>eg</w:t>
      </w:r>
      <w:proofErr w:type="spellEnd"/>
      <w:r w:rsidR="00744CE8">
        <w:rPr>
          <w:rFonts w:asciiTheme="minorHAnsi" w:hAnsiTheme="minorHAnsi" w:cstheme="minorHAnsi"/>
        </w:rPr>
        <w:t xml:space="preserve">, </w:t>
      </w:r>
      <w:bookmarkStart w:id="15" w:name="_Hlk157427276"/>
      <w:r w:rsidRPr="00744CE8">
        <w:rPr>
          <w:rFonts w:asciiTheme="minorHAnsi" w:hAnsiTheme="minorHAnsi" w:cstheme="minorHAnsi"/>
        </w:rPr>
        <w:t>Carolyn M Hendricks and Jennifer Lees-</w:t>
      </w:r>
      <w:proofErr w:type="spellStart"/>
      <w:r w:rsidRPr="00744CE8">
        <w:rPr>
          <w:rFonts w:asciiTheme="minorHAnsi" w:hAnsiTheme="minorHAnsi" w:cstheme="minorHAnsi"/>
        </w:rPr>
        <w:t>Mar</w:t>
      </w:r>
      <w:r w:rsidR="001048EC">
        <w:rPr>
          <w:rFonts w:asciiTheme="minorHAnsi" w:hAnsiTheme="minorHAnsi" w:cstheme="minorHAnsi"/>
        </w:rPr>
        <w:t>s</w:t>
      </w:r>
      <w:r w:rsidRPr="00744CE8">
        <w:rPr>
          <w:rFonts w:asciiTheme="minorHAnsi" w:hAnsiTheme="minorHAnsi" w:cstheme="minorHAnsi"/>
        </w:rPr>
        <w:t>hment</w:t>
      </w:r>
      <w:proofErr w:type="spellEnd"/>
      <w:r w:rsidRPr="00744CE8">
        <w:rPr>
          <w:rFonts w:asciiTheme="minorHAnsi" w:hAnsiTheme="minorHAnsi" w:cstheme="minorHAnsi"/>
        </w:rPr>
        <w:t xml:space="preserve">, 'Political Leaders and Public Engagement: The Hidden World of Informal Elite-Citizen Interaction' (2019) 67(3) </w:t>
      </w:r>
      <w:r w:rsidRPr="00744CE8">
        <w:rPr>
          <w:rFonts w:asciiTheme="minorHAnsi" w:hAnsiTheme="minorHAnsi" w:cstheme="minorHAnsi"/>
          <w:i/>
          <w:iCs/>
        </w:rPr>
        <w:t>Political Studies</w:t>
      </w:r>
      <w:r w:rsidRPr="00744CE8">
        <w:rPr>
          <w:rFonts w:asciiTheme="minorHAnsi" w:hAnsiTheme="minorHAnsi" w:cstheme="minorHAnsi"/>
        </w:rPr>
        <w:t xml:space="preserve"> 597</w:t>
      </w:r>
      <w:bookmarkEnd w:id="15"/>
      <w:r w:rsidRPr="00744CE8">
        <w:rPr>
          <w:rFonts w:asciiTheme="minorHAnsi" w:hAnsiTheme="minorHAnsi" w:cstheme="minorHAnsi"/>
        </w:rPr>
        <w:t>, 609</w:t>
      </w:r>
      <w:r w:rsidR="00744CE8">
        <w:rPr>
          <w:rFonts w:asciiTheme="minorHAnsi" w:hAnsiTheme="minorHAnsi" w:cstheme="minorHAnsi"/>
        </w:rPr>
        <w:t>.</w:t>
      </w:r>
      <w:r w:rsidR="006F6A0F" w:rsidRPr="00744CE8">
        <w:rPr>
          <w:rFonts w:asciiTheme="minorHAnsi" w:hAnsiTheme="minorHAnsi" w:cstheme="minorHAnsi"/>
        </w:rPr>
        <w:t xml:space="preserve"> </w:t>
      </w:r>
    </w:p>
  </w:footnote>
  <w:footnote w:id="13">
    <w:p w14:paraId="4C583721" w14:textId="573FFB2A" w:rsidR="00744CE8" w:rsidRPr="00744CE8" w:rsidRDefault="00744CE8">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6" w:name="_Hlk157427330"/>
      <w:r w:rsidRPr="00744CE8">
        <w:rPr>
          <w:rFonts w:asciiTheme="minorHAnsi" w:hAnsiTheme="minorHAnsi" w:cstheme="minorHAnsi"/>
        </w:rPr>
        <w:t xml:space="preserve">House of Commons Liaison Committee, Parliament of the United Kingdom, </w:t>
      </w:r>
      <w:proofErr w:type="gramStart"/>
      <w:r w:rsidRPr="00744CE8">
        <w:rPr>
          <w:rFonts w:asciiTheme="minorHAnsi" w:hAnsiTheme="minorHAnsi" w:cstheme="minorHAnsi"/>
          <w:i/>
          <w:iCs/>
        </w:rPr>
        <w:t>The</w:t>
      </w:r>
      <w:proofErr w:type="gramEnd"/>
      <w:r w:rsidRPr="00744CE8">
        <w:rPr>
          <w:rFonts w:asciiTheme="minorHAnsi" w:hAnsiTheme="minorHAnsi" w:cstheme="minorHAnsi"/>
          <w:i/>
          <w:iCs/>
        </w:rPr>
        <w:t xml:space="preserve"> effectiveness and influence of the select committee system</w:t>
      </w:r>
      <w:r w:rsidRPr="00744CE8">
        <w:rPr>
          <w:rFonts w:asciiTheme="minorHAnsi" w:hAnsiTheme="minorHAnsi" w:cstheme="minorHAnsi"/>
        </w:rPr>
        <w:t xml:space="preserve"> (4</w:t>
      </w:r>
      <w:r w:rsidRPr="00744CE8">
        <w:rPr>
          <w:rFonts w:asciiTheme="minorHAnsi" w:hAnsiTheme="minorHAnsi" w:cstheme="minorHAnsi"/>
          <w:vertAlign w:val="superscript"/>
        </w:rPr>
        <w:t>th</w:t>
      </w:r>
      <w:r w:rsidRPr="00744CE8">
        <w:rPr>
          <w:rFonts w:asciiTheme="minorHAnsi" w:hAnsiTheme="minorHAnsi" w:cstheme="minorHAnsi"/>
        </w:rPr>
        <w:t xml:space="preserve"> Report of Session 2017-19, 9 September 2019)</w:t>
      </w:r>
      <w:bookmarkEnd w:id="16"/>
      <w:r w:rsidRPr="00744CE8">
        <w:rPr>
          <w:rFonts w:asciiTheme="minorHAnsi" w:hAnsiTheme="minorHAnsi" w:cstheme="minorHAnsi"/>
        </w:rPr>
        <w:t xml:space="preserve">, 45. </w:t>
      </w:r>
    </w:p>
  </w:footnote>
  <w:footnote w:id="14">
    <w:p w14:paraId="03C6A9CD" w14:textId="1F73FD4F" w:rsidR="00744CE8" w:rsidRPr="00744CE8" w:rsidRDefault="00744CE8" w:rsidP="00744CE8">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7" w:name="_Hlk157427354"/>
      <w:r w:rsidRPr="00744CE8">
        <w:rPr>
          <w:rFonts w:asciiTheme="minorHAnsi" w:hAnsiTheme="minorHAnsi" w:cstheme="minorHAnsi"/>
        </w:rPr>
        <w:t xml:space="preserve">The Scottish Parliament, 'Format of Your Submission', </w:t>
      </w:r>
      <w:r w:rsidRPr="00744CE8">
        <w:rPr>
          <w:rFonts w:asciiTheme="minorHAnsi" w:hAnsiTheme="minorHAnsi" w:cstheme="minorHAnsi"/>
          <w:i/>
          <w:iCs/>
        </w:rPr>
        <w:t>Committees: Submitting Your Views to a Committee</w:t>
      </w:r>
      <w:r w:rsidRPr="00744CE8">
        <w:rPr>
          <w:rFonts w:asciiTheme="minorHAnsi" w:hAnsiTheme="minorHAnsi" w:cstheme="minorHAnsi"/>
        </w:rPr>
        <w:t>, (Web Page, 2024) &lt;https://www.parliament.scot/about/information-rights/data-protection/privacy-notices/committees-submitting-your-views-to-a-committee&gt;</w:t>
      </w:r>
      <w:bookmarkEnd w:id="17"/>
      <w:r w:rsidRPr="00744CE8">
        <w:rPr>
          <w:rFonts w:asciiTheme="minorHAnsi" w:hAnsiTheme="minorHAnsi" w:cstheme="minorHAnsi"/>
        </w:rPr>
        <w:t xml:space="preserve">; </w:t>
      </w:r>
      <w:bookmarkStart w:id="18" w:name="_Hlk157427376"/>
      <w:r w:rsidRPr="00744CE8">
        <w:rPr>
          <w:rFonts w:asciiTheme="minorHAnsi" w:hAnsiTheme="minorHAnsi" w:cstheme="minorHAnsi"/>
        </w:rPr>
        <w:t xml:space="preserve">The Scottish Parliament, </w:t>
      </w:r>
      <w:r w:rsidRPr="00744CE8">
        <w:rPr>
          <w:rFonts w:asciiTheme="minorHAnsi" w:hAnsiTheme="minorHAnsi" w:cstheme="minorHAnsi"/>
          <w:i/>
          <w:iCs/>
        </w:rPr>
        <w:t>Public Engagement Strategy</w:t>
      </w:r>
      <w:r w:rsidRPr="00744CE8">
        <w:rPr>
          <w:rFonts w:asciiTheme="minorHAnsi" w:hAnsiTheme="minorHAnsi" w:cstheme="minorHAnsi"/>
        </w:rPr>
        <w:t xml:space="preserve"> (Report, 2021)</w:t>
      </w:r>
      <w:bookmarkEnd w:id="18"/>
      <w:r w:rsidRPr="00744CE8">
        <w:rPr>
          <w:rFonts w:asciiTheme="minorHAnsi" w:hAnsiTheme="minorHAnsi" w:cstheme="minorHAnsi"/>
        </w:rPr>
        <w:t>, 1.</w:t>
      </w:r>
    </w:p>
  </w:footnote>
  <w:footnote w:id="15">
    <w:p w14:paraId="1D204396" w14:textId="26548069" w:rsidR="00D37A7D" w:rsidRPr="00744CE8" w:rsidRDefault="00D37A7D"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19" w:name="_Hlk157427401"/>
      <w:r w:rsidR="001931BD" w:rsidRPr="00744CE8">
        <w:rPr>
          <w:rFonts w:asciiTheme="minorHAnsi" w:hAnsiTheme="minorHAnsi" w:cstheme="minorHAnsi"/>
        </w:rPr>
        <w:t xml:space="preserve">Katherine </w:t>
      </w:r>
      <w:proofErr w:type="spellStart"/>
      <w:r w:rsidR="001931BD" w:rsidRPr="00744CE8">
        <w:rPr>
          <w:rFonts w:asciiTheme="minorHAnsi" w:hAnsiTheme="minorHAnsi" w:cstheme="minorHAnsi"/>
        </w:rPr>
        <w:t>Biber</w:t>
      </w:r>
      <w:proofErr w:type="spellEnd"/>
      <w:r w:rsidR="001931BD" w:rsidRPr="00744CE8">
        <w:rPr>
          <w:rFonts w:asciiTheme="minorHAnsi" w:hAnsiTheme="minorHAnsi" w:cstheme="minorHAnsi"/>
        </w:rPr>
        <w:t xml:space="preserve">, 'Fact-Finding, Proof and Indigenous Knowledge: Teaching Evidence in Australia' (2010) 35(4) </w:t>
      </w:r>
      <w:r w:rsidR="001931BD" w:rsidRPr="00744CE8">
        <w:rPr>
          <w:rFonts w:asciiTheme="minorHAnsi" w:hAnsiTheme="minorHAnsi" w:cstheme="minorHAnsi"/>
          <w:i/>
          <w:iCs/>
        </w:rPr>
        <w:t xml:space="preserve">Alternative Law Journal </w:t>
      </w:r>
      <w:r w:rsidR="001931BD" w:rsidRPr="00744CE8">
        <w:rPr>
          <w:rFonts w:asciiTheme="minorHAnsi" w:hAnsiTheme="minorHAnsi" w:cstheme="minorHAnsi"/>
        </w:rPr>
        <w:t>208</w:t>
      </w:r>
      <w:bookmarkEnd w:id="19"/>
      <w:r w:rsidR="001931BD" w:rsidRPr="00744CE8">
        <w:rPr>
          <w:rFonts w:asciiTheme="minorHAnsi" w:hAnsiTheme="minorHAnsi" w:cstheme="minorHAnsi"/>
        </w:rPr>
        <w:t>.</w:t>
      </w:r>
    </w:p>
  </w:footnote>
  <w:footnote w:id="16">
    <w:p w14:paraId="1550D284" w14:textId="7B22698F" w:rsidR="001D140D" w:rsidRPr="00744CE8" w:rsidRDefault="001D140D" w:rsidP="001D140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r w:rsidR="00744CE8" w:rsidRPr="00744CE8">
        <w:rPr>
          <w:rFonts w:asciiTheme="minorHAnsi" w:hAnsiTheme="minorHAnsi" w:cstheme="minorHAnsi"/>
        </w:rPr>
        <w:t>Ray, Young and Grant (n 2) 289-290.</w:t>
      </w:r>
    </w:p>
  </w:footnote>
  <w:footnote w:id="17">
    <w:p w14:paraId="07D8F066" w14:textId="4A58BF51" w:rsidR="001931BD" w:rsidRPr="00744CE8" w:rsidRDefault="001931B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0" w:name="_Hlk157426965"/>
      <w:r w:rsidRPr="00744CE8">
        <w:rPr>
          <w:rFonts w:asciiTheme="minorHAnsi" w:hAnsiTheme="minorHAnsi" w:cstheme="minorHAnsi"/>
          <w:i/>
          <w:iCs/>
        </w:rPr>
        <w:t>Bill of Rights 1688</w:t>
      </w:r>
      <w:bookmarkEnd w:id="20"/>
      <w:r w:rsidRPr="00744CE8">
        <w:rPr>
          <w:rFonts w:asciiTheme="minorHAnsi" w:hAnsiTheme="minorHAnsi" w:cstheme="minorHAnsi"/>
          <w:i/>
          <w:iCs/>
        </w:rPr>
        <w:t xml:space="preserve"> </w:t>
      </w:r>
      <w:r w:rsidRPr="00744CE8">
        <w:rPr>
          <w:rFonts w:asciiTheme="minorHAnsi" w:hAnsiTheme="minorHAnsi" w:cstheme="minorHAnsi"/>
        </w:rPr>
        <w:t>s 9.</w:t>
      </w:r>
    </w:p>
  </w:footnote>
  <w:footnote w:id="18">
    <w:p w14:paraId="00088AFA" w14:textId="77777777" w:rsidR="00744CE8" w:rsidRPr="00744CE8" w:rsidRDefault="00744CE8" w:rsidP="00744CE8">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1" w:name="_Hlk157426980"/>
      <w:r w:rsidRPr="00744CE8">
        <w:rPr>
          <w:rFonts w:asciiTheme="minorHAnsi" w:hAnsiTheme="minorHAnsi" w:cstheme="minorHAnsi"/>
          <w:i/>
          <w:iCs/>
        </w:rPr>
        <w:t xml:space="preserve">Parliamentary Privileges Act 1987 </w:t>
      </w:r>
      <w:r w:rsidRPr="00744CE8">
        <w:rPr>
          <w:rFonts w:asciiTheme="minorHAnsi" w:hAnsiTheme="minorHAnsi" w:cstheme="minorHAnsi"/>
        </w:rPr>
        <w:t>(</w:t>
      </w:r>
      <w:proofErr w:type="spellStart"/>
      <w:r w:rsidRPr="00744CE8">
        <w:rPr>
          <w:rFonts w:asciiTheme="minorHAnsi" w:hAnsiTheme="minorHAnsi" w:cstheme="minorHAnsi"/>
        </w:rPr>
        <w:t>Cth</w:t>
      </w:r>
      <w:proofErr w:type="spellEnd"/>
      <w:r w:rsidRPr="00744CE8">
        <w:rPr>
          <w:rFonts w:asciiTheme="minorHAnsi" w:hAnsiTheme="minorHAnsi" w:cstheme="minorHAnsi"/>
        </w:rPr>
        <w:t>)</w:t>
      </w:r>
      <w:bookmarkEnd w:id="21"/>
      <w:r w:rsidRPr="00744CE8">
        <w:rPr>
          <w:rFonts w:asciiTheme="minorHAnsi" w:hAnsiTheme="minorHAnsi" w:cstheme="minorHAnsi"/>
        </w:rPr>
        <w:t xml:space="preserve"> s 16.</w:t>
      </w:r>
    </w:p>
  </w:footnote>
  <w:footnote w:id="19">
    <w:p w14:paraId="3662D6F5" w14:textId="34A6BF14" w:rsidR="001931BD" w:rsidRPr="00744CE8" w:rsidRDefault="001931B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2" w:name="_Hlk157426986"/>
      <w:r w:rsidRPr="00744CE8">
        <w:rPr>
          <w:rFonts w:asciiTheme="minorHAnsi" w:hAnsiTheme="minorHAnsi" w:cstheme="minorHAnsi"/>
          <w:i/>
          <w:iCs/>
        </w:rPr>
        <w:t xml:space="preserve">Parliamentary Evidence Act 1901 </w:t>
      </w:r>
      <w:r w:rsidRPr="00744CE8">
        <w:rPr>
          <w:rFonts w:asciiTheme="minorHAnsi" w:hAnsiTheme="minorHAnsi" w:cstheme="minorHAnsi"/>
        </w:rPr>
        <w:t>(NSW)</w:t>
      </w:r>
      <w:bookmarkEnd w:id="22"/>
      <w:r w:rsidRPr="00744CE8">
        <w:rPr>
          <w:rFonts w:asciiTheme="minorHAnsi" w:hAnsiTheme="minorHAnsi" w:cstheme="minorHAnsi"/>
        </w:rPr>
        <w:t xml:space="preserve"> s 12.</w:t>
      </w:r>
    </w:p>
  </w:footnote>
  <w:footnote w:id="20">
    <w:p w14:paraId="19A6794A" w14:textId="77777777" w:rsidR="00593028" w:rsidRPr="00744CE8" w:rsidRDefault="00593028" w:rsidP="00593028">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See, </w:t>
      </w:r>
      <w:proofErr w:type="spellStart"/>
      <w:r w:rsidRPr="00744CE8">
        <w:rPr>
          <w:rFonts w:asciiTheme="minorHAnsi" w:hAnsiTheme="minorHAnsi" w:cstheme="minorHAnsi"/>
        </w:rPr>
        <w:t>eg</w:t>
      </w:r>
      <w:proofErr w:type="spellEnd"/>
      <w:r w:rsidRPr="00744CE8">
        <w:rPr>
          <w:rFonts w:asciiTheme="minorHAnsi" w:hAnsiTheme="minorHAnsi" w:cstheme="minorHAnsi"/>
        </w:rPr>
        <w:t>, Geddes</w:t>
      </w:r>
      <w:r>
        <w:rPr>
          <w:rFonts w:asciiTheme="minorHAnsi" w:hAnsiTheme="minorHAnsi" w:cstheme="minorHAnsi"/>
        </w:rPr>
        <w:t>, 'Good Evidence'</w:t>
      </w:r>
      <w:r w:rsidRPr="00744CE8">
        <w:rPr>
          <w:rFonts w:asciiTheme="minorHAnsi" w:hAnsiTheme="minorHAnsi" w:cstheme="minorHAnsi"/>
        </w:rPr>
        <w:t xml:space="preserve"> (n </w:t>
      </w:r>
      <w:r>
        <w:rPr>
          <w:rFonts w:asciiTheme="minorHAnsi" w:hAnsiTheme="minorHAnsi" w:cstheme="minorHAnsi"/>
        </w:rPr>
        <w:t>2</w:t>
      </w:r>
      <w:r w:rsidRPr="00744CE8">
        <w:rPr>
          <w:rFonts w:asciiTheme="minorHAnsi" w:hAnsiTheme="minorHAnsi" w:cstheme="minorHAnsi"/>
        </w:rPr>
        <w:t>) 8.</w:t>
      </w:r>
    </w:p>
  </w:footnote>
  <w:footnote w:id="21">
    <w:p w14:paraId="276F3EE6" w14:textId="0CAB3BE5" w:rsidR="001D140D" w:rsidRPr="00744CE8" w:rsidRDefault="001D140D" w:rsidP="001D140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3" w:name="_Hlk157423811"/>
      <w:r w:rsidRPr="00744CE8">
        <w:rPr>
          <w:rFonts w:asciiTheme="minorHAnsi" w:hAnsiTheme="minorHAnsi" w:cstheme="minorHAnsi"/>
        </w:rPr>
        <w:t xml:space="preserve">Russell D Grove, Mark Swinson and Stephanie </w:t>
      </w:r>
      <w:proofErr w:type="spellStart"/>
      <w:r w:rsidRPr="00744CE8">
        <w:rPr>
          <w:rFonts w:asciiTheme="minorHAnsi" w:hAnsiTheme="minorHAnsi" w:cstheme="minorHAnsi"/>
        </w:rPr>
        <w:t>Hesford</w:t>
      </w:r>
      <w:proofErr w:type="spellEnd"/>
      <w:r w:rsidRPr="00744CE8">
        <w:rPr>
          <w:rFonts w:asciiTheme="minorHAnsi" w:hAnsiTheme="minorHAnsi" w:cstheme="minorHAnsi"/>
        </w:rPr>
        <w:t>, '</w:t>
      </w:r>
      <w:r w:rsidRPr="00744CE8">
        <w:rPr>
          <w:rFonts w:asciiTheme="minorHAnsi" w:hAnsiTheme="minorHAnsi" w:cstheme="minorHAnsi"/>
          <w:i/>
          <w:iCs/>
        </w:rPr>
        <w:t>Part 2 Chapter 3 – Such Privileges as were Imported by the Adoption of the Bill of Rights</w:t>
      </w:r>
      <w:r w:rsidRPr="00744CE8">
        <w:rPr>
          <w:rFonts w:asciiTheme="minorHAnsi" w:hAnsiTheme="minorHAnsi" w:cstheme="minorHAnsi"/>
        </w:rPr>
        <w:t xml:space="preserve">', in Russell D Grove (ed) </w:t>
      </w:r>
      <w:r w:rsidRPr="00744CE8">
        <w:rPr>
          <w:rFonts w:asciiTheme="minorHAnsi" w:hAnsiTheme="minorHAnsi" w:cstheme="minorHAnsi"/>
          <w:i/>
          <w:iCs/>
        </w:rPr>
        <w:t xml:space="preserve">NSW Legislative Assembly Practice, Procedure and Privilege </w:t>
      </w:r>
      <w:r w:rsidRPr="00744CE8">
        <w:rPr>
          <w:rFonts w:asciiTheme="minorHAnsi" w:hAnsiTheme="minorHAnsi" w:cstheme="minorHAnsi"/>
        </w:rPr>
        <w:t>(NSW Legislative Assembly, 2007),</w:t>
      </w:r>
      <w:r w:rsidRPr="00744CE8">
        <w:rPr>
          <w:rFonts w:asciiTheme="minorHAnsi" w:hAnsiTheme="minorHAnsi" w:cstheme="minorHAnsi"/>
          <w:i/>
          <w:iCs/>
        </w:rPr>
        <w:t xml:space="preserve"> </w:t>
      </w:r>
      <w:r w:rsidRPr="00744CE8">
        <w:rPr>
          <w:rFonts w:asciiTheme="minorHAnsi" w:hAnsiTheme="minorHAnsi" w:cstheme="minorHAnsi"/>
        </w:rPr>
        <w:t>5</w:t>
      </w:r>
      <w:r w:rsidR="00744CE8" w:rsidRPr="00744CE8">
        <w:rPr>
          <w:rFonts w:asciiTheme="minorHAnsi" w:hAnsiTheme="minorHAnsi" w:cstheme="minorHAnsi"/>
        </w:rPr>
        <w:t>.</w:t>
      </w:r>
      <w:bookmarkEnd w:id="23"/>
    </w:p>
  </w:footnote>
  <w:footnote w:id="22">
    <w:p w14:paraId="6C0B5A8A" w14:textId="51C11DB7" w:rsidR="00664A36" w:rsidRPr="00744CE8" w:rsidRDefault="00664A36" w:rsidP="00664A36">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See, </w:t>
      </w:r>
      <w:proofErr w:type="spellStart"/>
      <w:r w:rsidRPr="00744CE8">
        <w:rPr>
          <w:rFonts w:asciiTheme="minorHAnsi" w:hAnsiTheme="minorHAnsi" w:cstheme="minorHAnsi"/>
        </w:rPr>
        <w:t>eg</w:t>
      </w:r>
      <w:proofErr w:type="spellEnd"/>
      <w:r w:rsidRPr="00744CE8">
        <w:rPr>
          <w:rFonts w:asciiTheme="minorHAnsi" w:hAnsiTheme="minorHAnsi" w:cstheme="minorHAnsi"/>
        </w:rPr>
        <w:t xml:space="preserve">, </w:t>
      </w:r>
      <w:r w:rsidRPr="00744CE8">
        <w:rPr>
          <w:rFonts w:asciiTheme="minorHAnsi" w:hAnsiTheme="minorHAnsi" w:cstheme="minorHAnsi"/>
          <w:i/>
          <w:iCs/>
        </w:rPr>
        <w:t xml:space="preserve">Parliamentary Privileges Act 1987 </w:t>
      </w:r>
      <w:r w:rsidRPr="00744CE8">
        <w:rPr>
          <w:rFonts w:asciiTheme="minorHAnsi" w:hAnsiTheme="minorHAnsi" w:cstheme="minorHAnsi"/>
        </w:rPr>
        <w:t>(</w:t>
      </w:r>
      <w:proofErr w:type="spellStart"/>
      <w:r w:rsidRPr="00744CE8">
        <w:rPr>
          <w:rFonts w:asciiTheme="minorHAnsi" w:hAnsiTheme="minorHAnsi" w:cstheme="minorHAnsi"/>
        </w:rPr>
        <w:t>Cth</w:t>
      </w:r>
      <w:proofErr w:type="spellEnd"/>
      <w:r w:rsidRPr="00744CE8">
        <w:rPr>
          <w:rFonts w:asciiTheme="minorHAnsi" w:hAnsiTheme="minorHAnsi" w:cstheme="minorHAnsi"/>
        </w:rPr>
        <w:t>) s 16(3)</w:t>
      </w:r>
      <w:r>
        <w:rPr>
          <w:rFonts w:asciiTheme="minorHAnsi" w:hAnsiTheme="minorHAnsi" w:cstheme="minorHAnsi"/>
        </w:rPr>
        <w:t>.</w:t>
      </w:r>
    </w:p>
  </w:footnote>
  <w:footnote w:id="23">
    <w:p w14:paraId="28942DBB" w14:textId="3856F5D9" w:rsidR="00574E4B" w:rsidRPr="00744CE8" w:rsidRDefault="00574E4B"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4" w:name="_Hlk157423892"/>
      <w:r w:rsidR="00744CE8">
        <w:rPr>
          <w:rFonts w:asciiTheme="minorHAnsi" w:hAnsiTheme="minorHAnsi" w:cstheme="minorHAnsi"/>
        </w:rPr>
        <w:t xml:space="preserve">Legislative Council </w:t>
      </w:r>
      <w:r w:rsidRPr="00744CE8">
        <w:rPr>
          <w:rFonts w:asciiTheme="minorHAnsi" w:hAnsiTheme="minorHAnsi" w:cstheme="minorHAnsi"/>
        </w:rPr>
        <w:t xml:space="preserve">Portfolio Committee No. 4 – Customer Service and Natural Resources, </w:t>
      </w:r>
      <w:r w:rsidR="00744CE8">
        <w:rPr>
          <w:rFonts w:asciiTheme="minorHAnsi" w:hAnsiTheme="minorHAnsi" w:cstheme="minorHAnsi"/>
          <w:i/>
          <w:iCs/>
        </w:rPr>
        <w:t xml:space="preserve">Uncorrected Transcript, </w:t>
      </w:r>
      <w:r w:rsidR="00744CE8">
        <w:rPr>
          <w:rFonts w:asciiTheme="minorHAnsi" w:hAnsiTheme="minorHAnsi" w:cstheme="minorHAnsi"/>
        </w:rPr>
        <w:t xml:space="preserve">Parliament of </w:t>
      </w:r>
      <w:r w:rsidRPr="00744CE8">
        <w:rPr>
          <w:rFonts w:asciiTheme="minorHAnsi" w:hAnsiTheme="minorHAnsi" w:cstheme="minorHAnsi"/>
        </w:rPr>
        <w:t>N</w:t>
      </w:r>
      <w:r w:rsidR="001931BD" w:rsidRPr="00744CE8">
        <w:rPr>
          <w:rFonts w:asciiTheme="minorHAnsi" w:hAnsiTheme="minorHAnsi" w:cstheme="minorHAnsi"/>
        </w:rPr>
        <w:t xml:space="preserve">ew </w:t>
      </w:r>
      <w:r w:rsidRPr="00744CE8">
        <w:rPr>
          <w:rFonts w:asciiTheme="minorHAnsi" w:hAnsiTheme="minorHAnsi" w:cstheme="minorHAnsi"/>
        </w:rPr>
        <w:t>S</w:t>
      </w:r>
      <w:r w:rsidR="001931BD" w:rsidRPr="00744CE8">
        <w:rPr>
          <w:rFonts w:asciiTheme="minorHAnsi" w:hAnsiTheme="minorHAnsi" w:cstheme="minorHAnsi"/>
        </w:rPr>
        <w:t xml:space="preserve">outh </w:t>
      </w:r>
      <w:r w:rsidRPr="00744CE8">
        <w:rPr>
          <w:rFonts w:asciiTheme="minorHAnsi" w:hAnsiTheme="minorHAnsi" w:cstheme="minorHAnsi"/>
        </w:rPr>
        <w:t>W</w:t>
      </w:r>
      <w:r w:rsidR="001931BD" w:rsidRPr="00744CE8">
        <w:rPr>
          <w:rFonts w:asciiTheme="minorHAnsi" w:hAnsiTheme="minorHAnsi" w:cstheme="minorHAnsi"/>
        </w:rPr>
        <w:t>ales</w:t>
      </w:r>
      <w:r w:rsidRPr="00744CE8">
        <w:rPr>
          <w:rFonts w:asciiTheme="minorHAnsi" w:hAnsiTheme="minorHAnsi" w:cstheme="minorHAnsi"/>
        </w:rPr>
        <w:t xml:space="preserve">, Narooma, 28 July 2022, 1 (The Hon. Mick Veitch). </w:t>
      </w:r>
    </w:p>
    <w:bookmarkEnd w:id="24"/>
  </w:footnote>
  <w:footnote w:id="24">
    <w:p w14:paraId="66309A85" w14:textId="2AA49086" w:rsidR="00574E4B" w:rsidRPr="00744CE8" w:rsidRDefault="00574E4B"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5" w:name="_Hlk157427527"/>
      <w:r w:rsidR="00744CE8">
        <w:rPr>
          <w:rFonts w:asciiTheme="minorHAnsi" w:hAnsiTheme="minorHAnsi" w:cstheme="minorHAnsi"/>
        </w:rPr>
        <w:t xml:space="preserve">Legislative Council </w:t>
      </w:r>
      <w:r w:rsidRPr="00744CE8">
        <w:rPr>
          <w:rFonts w:asciiTheme="minorHAnsi" w:hAnsiTheme="minorHAnsi" w:cstheme="minorHAnsi"/>
        </w:rPr>
        <w:t xml:space="preserve">Portfolio Committee No. 4 – Customer Service and Natural Resources, </w:t>
      </w:r>
      <w:r w:rsidR="00744CE8">
        <w:rPr>
          <w:rFonts w:asciiTheme="minorHAnsi" w:hAnsiTheme="minorHAnsi" w:cstheme="minorHAnsi"/>
        </w:rPr>
        <w:t xml:space="preserve">Parliament of </w:t>
      </w:r>
      <w:r w:rsidRPr="00744CE8">
        <w:rPr>
          <w:rFonts w:asciiTheme="minorHAnsi" w:hAnsiTheme="minorHAnsi" w:cstheme="minorHAnsi"/>
        </w:rPr>
        <w:t>N</w:t>
      </w:r>
      <w:r w:rsidR="001931BD" w:rsidRPr="00744CE8">
        <w:rPr>
          <w:rFonts w:asciiTheme="minorHAnsi" w:hAnsiTheme="minorHAnsi" w:cstheme="minorHAnsi"/>
        </w:rPr>
        <w:t xml:space="preserve">ew </w:t>
      </w:r>
      <w:r w:rsidRPr="00744CE8">
        <w:rPr>
          <w:rFonts w:asciiTheme="minorHAnsi" w:hAnsiTheme="minorHAnsi" w:cstheme="minorHAnsi"/>
        </w:rPr>
        <w:t>S</w:t>
      </w:r>
      <w:r w:rsidR="001931BD" w:rsidRPr="00744CE8">
        <w:rPr>
          <w:rFonts w:asciiTheme="minorHAnsi" w:hAnsiTheme="minorHAnsi" w:cstheme="minorHAnsi"/>
        </w:rPr>
        <w:t xml:space="preserve">outh </w:t>
      </w:r>
      <w:r w:rsidRPr="00744CE8">
        <w:rPr>
          <w:rFonts w:asciiTheme="minorHAnsi" w:hAnsiTheme="minorHAnsi" w:cstheme="minorHAnsi"/>
        </w:rPr>
        <w:t>W</w:t>
      </w:r>
      <w:r w:rsidR="001931BD" w:rsidRPr="00744CE8">
        <w:rPr>
          <w:rFonts w:asciiTheme="minorHAnsi" w:hAnsiTheme="minorHAnsi" w:cstheme="minorHAnsi"/>
        </w:rPr>
        <w:t>ales</w:t>
      </w:r>
      <w:r w:rsidRPr="00744CE8">
        <w:rPr>
          <w:rFonts w:asciiTheme="minorHAnsi" w:hAnsiTheme="minorHAnsi" w:cstheme="minorHAnsi"/>
        </w:rPr>
        <w:t xml:space="preserve"> Legislative Council, </w:t>
      </w:r>
      <w:r w:rsidRPr="00744CE8">
        <w:rPr>
          <w:rFonts w:asciiTheme="minorHAnsi" w:hAnsiTheme="minorHAnsi" w:cstheme="minorHAnsi"/>
          <w:i/>
          <w:iCs/>
        </w:rPr>
        <w:t>Commencement of the Fisheries Management Act 2009</w:t>
      </w:r>
      <w:r w:rsidRPr="00744CE8">
        <w:rPr>
          <w:rFonts w:asciiTheme="minorHAnsi" w:hAnsiTheme="minorHAnsi" w:cstheme="minorHAnsi"/>
        </w:rPr>
        <w:t>, (Report No. 55, November 2022)</w:t>
      </w:r>
      <w:bookmarkEnd w:id="25"/>
      <w:r w:rsidRPr="00744CE8">
        <w:rPr>
          <w:rFonts w:asciiTheme="minorHAnsi" w:hAnsiTheme="minorHAnsi" w:cstheme="minorHAnsi"/>
          <w:i/>
          <w:iCs/>
        </w:rPr>
        <w:t xml:space="preserve"> </w:t>
      </w:r>
      <w:r w:rsidRPr="00744CE8">
        <w:rPr>
          <w:rFonts w:asciiTheme="minorHAnsi" w:hAnsiTheme="minorHAnsi" w:cstheme="minorHAnsi"/>
        </w:rPr>
        <w:t>62.</w:t>
      </w:r>
    </w:p>
  </w:footnote>
  <w:footnote w:id="25">
    <w:p w14:paraId="52173744" w14:textId="72388A15" w:rsidR="00574E4B" w:rsidRPr="00744CE8" w:rsidRDefault="00574E4B" w:rsidP="001931BD">
      <w:pPr>
        <w:pStyle w:val="FootnoteText"/>
        <w:jc w:val="lef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r w:rsidR="00744CE8">
        <w:rPr>
          <w:rFonts w:asciiTheme="minorHAnsi" w:hAnsiTheme="minorHAnsi" w:cstheme="minorHAnsi"/>
        </w:rPr>
        <w:t xml:space="preserve">Legislative Council </w:t>
      </w:r>
      <w:r w:rsidR="001931BD" w:rsidRPr="00744CE8">
        <w:rPr>
          <w:rFonts w:asciiTheme="minorHAnsi" w:hAnsiTheme="minorHAnsi" w:cstheme="minorHAnsi"/>
        </w:rPr>
        <w:t xml:space="preserve">Portfolio Committee No. 4 (n </w:t>
      </w:r>
      <w:r w:rsidR="00744CE8" w:rsidRPr="00744CE8">
        <w:rPr>
          <w:rFonts w:asciiTheme="minorHAnsi" w:hAnsiTheme="minorHAnsi" w:cstheme="minorHAnsi"/>
        </w:rPr>
        <w:t>2</w:t>
      </w:r>
      <w:r w:rsidR="00744CE8">
        <w:rPr>
          <w:rFonts w:asciiTheme="minorHAnsi" w:hAnsiTheme="minorHAnsi" w:cstheme="minorHAnsi"/>
        </w:rPr>
        <w:t>4</w:t>
      </w:r>
      <w:r w:rsidR="001931BD" w:rsidRPr="00744CE8">
        <w:rPr>
          <w:rFonts w:asciiTheme="minorHAnsi" w:hAnsiTheme="minorHAnsi" w:cstheme="minorHAnsi"/>
        </w:rPr>
        <w:t>) 62.</w:t>
      </w:r>
    </w:p>
  </w:footnote>
  <w:footnote w:id="26">
    <w:p w14:paraId="25EE560A" w14:textId="484803DB" w:rsidR="001931BD" w:rsidRPr="00744CE8" w:rsidRDefault="001931B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bookmarkStart w:id="26" w:name="_Hlk157427613"/>
      <w:r w:rsidR="00744CE8" w:rsidRPr="00744CE8">
        <w:rPr>
          <w:rFonts w:asciiTheme="minorHAnsi" w:hAnsiTheme="minorHAnsi" w:cstheme="minorHAnsi"/>
        </w:rPr>
        <w:t xml:space="preserve">Legislative Assembly Committee on Law and Safety, Parliament of New South Wales, </w:t>
      </w:r>
      <w:r w:rsidR="00744CE8" w:rsidRPr="00744CE8">
        <w:rPr>
          <w:rFonts w:asciiTheme="minorHAnsi" w:hAnsiTheme="minorHAnsi" w:cstheme="minorHAnsi"/>
          <w:i/>
          <w:iCs/>
        </w:rPr>
        <w:t xml:space="preserve">Embedded Networks in New South Wales </w:t>
      </w:r>
      <w:r w:rsidR="00744CE8" w:rsidRPr="00744CE8">
        <w:rPr>
          <w:rFonts w:asciiTheme="minorHAnsi" w:hAnsiTheme="minorHAnsi" w:cstheme="minorHAnsi"/>
        </w:rPr>
        <w:t>(Report 3/57, November 2022)</w:t>
      </w:r>
      <w:bookmarkEnd w:id="26"/>
      <w:r w:rsidRPr="00744CE8">
        <w:rPr>
          <w:rFonts w:asciiTheme="minorHAnsi" w:hAnsiTheme="minorHAnsi" w:cstheme="minorHAnsi"/>
        </w:rPr>
        <w:t xml:space="preserve"> 76.</w:t>
      </w:r>
      <w:r w:rsidR="00136121" w:rsidRPr="00744CE8">
        <w:rPr>
          <w:rFonts w:asciiTheme="minorHAnsi" w:hAnsiTheme="minorHAnsi" w:cstheme="minorHAnsi"/>
        </w:rPr>
        <w:t xml:space="preserve"> </w:t>
      </w:r>
    </w:p>
  </w:footnote>
  <w:footnote w:id="27">
    <w:p w14:paraId="24088845" w14:textId="1457C93C" w:rsidR="001D140D" w:rsidRPr="00744CE8" w:rsidRDefault="001D140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r w:rsidR="00744CE8" w:rsidRPr="00744CE8">
        <w:rPr>
          <w:rFonts w:asciiTheme="minorHAnsi" w:hAnsiTheme="minorHAnsi" w:cstheme="minorHAnsi"/>
        </w:rPr>
        <w:t>Legislative Assembly Committee on Law and Safety</w:t>
      </w:r>
      <w:r w:rsidR="00744CE8">
        <w:rPr>
          <w:rFonts w:asciiTheme="minorHAnsi" w:hAnsiTheme="minorHAnsi" w:cstheme="minorHAnsi"/>
        </w:rPr>
        <w:t xml:space="preserve"> (n </w:t>
      </w:r>
      <w:r w:rsidR="00744CE8" w:rsidRPr="00744CE8">
        <w:rPr>
          <w:rFonts w:asciiTheme="minorHAnsi" w:hAnsiTheme="minorHAnsi" w:cstheme="minorHAnsi"/>
        </w:rPr>
        <w:t>26</w:t>
      </w:r>
      <w:r w:rsidR="00744CE8">
        <w:rPr>
          <w:rFonts w:asciiTheme="minorHAnsi" w:hAnsiTheme="minorHAnsi" w:cstheme="minorHAnsi"/>
        </w:rPr>
        <w:t>)</w:t>
      </w:r>
      <w:r w:rsidR="00744CE8" w:rsidRPr="00744CE8">
        <w:rPr>
          <w:rFonts w:asciiTheme="minorHAnsi" w:hAnsiTheme="minorHAnsi" w:cstheme="minorHAnsi"/>
        </w:rPr>
        <w:t xml:space="preserve"> 82.</w:t>
      </w:r>
    </w:p>
  </w:footnote>
  <w:footnote w:id="28">
    <w:p w14:paraId="2BFFB018" w14:textId="06DA3CA1" w:rsidR="001D140D" w:rsidRPr="00744CE8" w:rsidRDefault="001D140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Geddes (n 2) 40.</w:t>
      </w:r>
    </w:p>
  </w:footnote>
  <w:footnote w:id="29">
    <w:p w14:paraId="4F7B1BF5" w14:textId="3D166978" w:rsidR="001D140D" w:rsidRPr="00744CE8" w:rsidRDefault="001D140D">
      <w:pPr>
        <w:pStyle w:val="FootnoteText"/>
        <w:rPr>
          <w:rFonts w:asciiTheme="minorHAnsi" w:hAnsiTheme="minorHAnsi" w:cstheme="minorHAnsi"/>
        </w:rPr>
      </w:pPr>
      <w:r w:rsidRPr="00744CE8">
        <w:rPr>
          <w:rStyle w:val="FootnoteReference"/>
          <w:rFonts w:asciiTheme="minorHAnsi" w:hAnsiTheme="minorHAnsi" w:cstheme="minorHAnsi"/>
        </w:rPr>
        <w:footnoteRef/>
      </w:r>
      <w:r w:rsidRPr="00744CE8">
        <w:rPr>
          <w:rFonts w:asciiTheme="minorHAnsi" w:hAnsiTheme="minorHAnsi" w:cstheme="minorHAnsi"/>
        </w:rPr>
        <w:t xml:space="preserve"> </w:t>
      </w:r>
      <w:r w:rsidR="00744CE8" w:rsidRPr="00744CE8">
        <w:rPr>
          <w:rFonts w:asciiTheme="minorHAnsi" w:hAnsiTheme="minorHAnsi" w:cstheme="minorHAnsi"/>
        </w:rPr>
        <w:t>Geddes (n 2)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1FA1"/>
    <w:multiLevelType w:val="hybridMultilevel"/>
    <w:tmpl w:val="B6C8B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4F1F36"/>
    <w:multiLevelType w:val="hybridMultilevel"/>
    <w:tmpl w:val="1E5E4E18"/>
    <w:lvl w:ilvl="0" w:tplc="6AA23FC8">
      <w:start w:val="1"/>
      <w:numFmt w:val="bullet"/>
      <w:lvlText w:val=""/>
      <w:lvlJc w:val="left"/>
      <w:pPr>
        <w:ind w:left="720" w:hanging="360"/>
      </w:pPr>
      <w:rPr>
        <w:rFonts w:ascii="Symbol" w:hAnsi="Symbol"/>
      </w:rPr>
    </w:lvl>
    <w:lvl w:ilvl="1" w:tplc="3AD42A40">
      <w:start w:val="1"/>
      <w:numFmt w:val="bullet"/>
      <w:lvlText w:val=""/>
      <w:lvlJc w:val="left"/>
      <w:pPr>
        <w:ind w:left="720" w:hanging="360"/>
      </w:pPr>
      <w:rPr>
        <w:rFonts w:ascii="Symbol" w:hAnsi="Symbol"/>
      </w:rPr>
    </w:lvl>
    <w:lvl w:ilvl="2" w:tplc="5DFC2AC8">
      <w:start w:val="1"/>
      <w:numFmt w:val="bullet"/>
      <w:lvlText w:val=""/>
      <w:lvlJc w:val="left"/>
      <w:pPr>
        <w:ind w:left="720" w:hanging="360"/>
      </w:pPr>
      <w:rPr>
        <w:rFonts w:ascii="Symbol" w:hAnsi="Symbol"/>
      </w:rPr>
    </w:lvl>
    <w:lvl w:ilvl="3" w:tplc="974CE446">
      <w:start w:val="1"/>
      <w:numFmt w:val="bullet"/>
      <w:lvlText w:val=""/>
      <w:lvlJc w:val="left"/>
      <w:pPr>
        <w:ind w:left="720" w:hanging="360"/>
      </w:pPr>
      <w:rPr>
        <w:rFonts w:ascii="Symbol" w:hAnsi="Symbol"/>
      </w:rPr>
    </w:lvl>
    <w:lvl w:ilvl="4" w:tplc="CC0EC034">
      <w:start w:val="1"/>
      <w:numFmt w:val="bullet"/>
      <w:lvlText w:val=""/>
      <w:lvlJc w:val="left"/>
      <w:pPr>
        <w:ind w:left="720" w:hanging="360"/>
      </w:pPr>
      <w:rPr>
        <w:rFonts w:ascii="Symbol" w:hAnsi="Symbol"/>
      </w:rPr>
    </w:lvl>
    <w:lvl w:ilvl="5" w:tplc="03C4EBF2">
      <w:start w:val="1"/>
      <w:numFmt w:val="bullet"/>
      <w:lvlText w:val=""/>
      <w:lvlJc w:val="left"/>
      <w:pPr>
        <w:ind w:left="720" w:hanging="360"/>
      </w:pPr>
      <w:rPr>
        <w:rFonts w:ascii="Symbol" w:hAnsi="Symbol"/>
      </w:rPr>
    </w:lvl>
    <w:lvl w:ilvl="6" w:tplc="5D4A36EE">
      <w:start w:val="1"/>
      <w:numFmt w:val="bullet"/>
      <w:lvlText w:val=""/>
      <w:lvlJc w:val="left"/>
      <w:pPr>
        <w:ind w:left="720" w:hanging="360"/>
      </w:pPr>
      <w:rPr>
        <w:rFonts w:ascii="Symbol" w:hAnsi="Symbol"/>
      </w:rPr>
    </w:lvl>
    <w:lvl w:ilvl="7" w:tplc="A5B2309C">
      <w:start w:val="1"/>
      <w:numFmt w:val="bullet"/>
      <w:lvlText w:val=""/>
      <w:lvlJc w:val="left"/>
      <w:pPr>
        <w:ind w:left="720" w:hanging="360"/>
      </w:pPr>
      <w:rPr>
        <w:rFonts w:ascii="Symbol" w:hAnsi="Symbol"/>
      </w:rPr>
    </w:lvl>
    <w:lvl w:ilvl="8" w:tplc="37C605DC">
      <w:start w:val="1"/>
      <w:numFmt w:val="bullet"/>
      <w:lvlText w:val=""/>
      <w:lvlJc w:val="left"/>
      <w:pPr>
        <w:ind w:left="720" w:hanging="360"/>
      </w:pPr>
      <w:rPr>
        <w:rFonts w:ascii="Symbol" w:hAnsi="Symbol"/>
      </w:rPr>
    </w:lvl>
  </w:abstractNum>
  <w:abstractNum w:abstractNumId="2" w15:restartNumberingAfterBreak="0">
    <w:nsid w:val="58C3089F"/>
    <w:multiLevelType w:val="hybridMultilevel"/>
    <w:tmpl w:val="94B0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6276EA"/>
    <w:multiLevelType w:val="hybridMultilevel"/>
    <w:tmpl w:val="6A6C1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9C20C3"/>
    <w:multiLevelType w:val="hybridMultilevel"/>
    <w:tmpl w:val="1A58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4D23B5"/>
    <w:multiLevelType w:val="hybridMultilevel"/>
    <w:tmpl w:val="25128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983A8F"/>
    <w:multiLevelType w:val="hybridMultilevel"/>
    <w:tmpl w:val="9816F48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num w:numId="1" w16cid:durableId="1343628175">
    <w:abstractNumId w:val="4"/>
  </w:num>
  <w:num w:numId="2" w16cid:durableId="344749652">
    <w:abstractNumId w:val="2"/>
  </w:num>
  <w:num w:numId="3" w16cid:durableId="675494444">
    <w:abstractNumId w:val="6"/>
  </w:num>
  <w:num w:numId="4" w16cid:durableId="1030037097">
    <w:abstractNumId w:val="3"/>
  </w:num>
  <w:num w:numId="5" w16cid:durableId="708649618">
    <w:abstractNumId w:val="5"/>
  </w:num>
  <w:num w:numId="6" w16cid:durableId="1028525300">
    <w:abstractNumId w:val="0"/>
  </w:num>
  <w:num w:numId="7" w16cid:durableId="395132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05"/>
    <w:rsid w:val="000E577A"/>
    <w:rsid w:val="001048EC"/>
    <w:rsid w:val="00136121"/>
    <w:rsid w:val="001931BD"/>
    <w:rsid w:val="001B74CE"/>
    <w:rsid w:val="001D140D"/>
    <w:rsid w:val="002200D8"/>
    <w:rsid w:val="002D61FC"/>
    <w:rsid w:val="00332DE8"/>
    <w:rsid w:val="003A06C1"/>
    <w:rsid w:val="003C1C9F"/>
    <w:rsid w:val="003C4BBF"/>
    <w:rsid w:val="00462AE9"/>
    <w:rsid w:val="004B08FD"/>
    <w:rsid w:val="005212B8"/>
    <w:rsid w:val="00522CBF"/>
    <w:rsid w:val="00574E4B"/>
    <w:rsid w:val="00593028"/>
    <w:rsid w:val="005D6EE3"/>
    <w:rsid w:val="006257C2"/>
    <w:rsid w:val="00664A36"/>
    <w:rsid w:val="00692D05"/>
    <w:rsid w:val="006F6A0F"/>
    <w:rsid w:val="00744CE8"/>
    <w:rsid w:val="007B625E"/>
    <w:rsid w:val="008555CB"/>
    <w:rsid w:val="008B0AA6"/>
    <w:rsid w:val="008C7549"/>
    <w:rsid w:val="009E7F79"/>
    <w:rsid w:val="00A82C31"/>
    <w:rsid w:val="00BA6593"/>
    <w:rsid w:val="00CA3BFF"/>
    <w:rsid w:val="00CB2504"/>
    <w:rsid w:val="00D37A7D"/>
    <w:rsid w:val="00D90E6D"/>
    <w:rsid w:val="00E116F5"/>
    <w:rsid w:val="00E6487B"/>
    <w:rsid w:val="00EC5D81"/>
    <w:rsid w:val="00F63317"/>
    <w:rsid w:val="00FC5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4C170"/>
  <w15:chartTrackingRefBased/>
  <w15:docId w15:val="{A4C13AA7-BD43-4D9F-A0DD-21FF0CD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C1"/>
    <w:pPr>
      <w:tabs>
        <w:tab w:val="left" w:pos="567"/>
        <w:tab w:val="left" w:pos="1134"/>
        <w:tab w:val="left" w:pos="1701"/>
        <w:tab w:val="left" w:pos="2268"/>
        <w:tab w:val="left" w:pos="2835"/>
        <w:tab w:val="left" w:pos="3402"/>
        <w:tab w:val="right" w:pos="9072"/>
      </w:tabs>
      <w:jc w:val="both"/>
    </w:pPr>
  </w:style>
  <w:style w:type="paragraph" w:styleId="Heading1">
    <w:name w:val="heading 1"/>
    <w:basedOn w:val="Normal"/>
    <w:next w:val="Normal"/>
    <w:link w:val="Heading1Char"/>
    <w:uiPriority w:val="9"/>
    <w:qFormat/>
    <w:rsid w:val="003A06C1"/>
    <w:pPr>
      <w:keepNext/>
      <w:keepLines/>
      <w:spacing w:before="240" w:after="0"/>
      <w:jc w:val="left"/>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06C1"/>
    <w:pPr>
      <w:keepNext/>
      <w:keepLines/>
      <w:spacing w:before="40" w:after="0"/>
      <w:jc w:val="left"/>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06C1"/>
    <w:pPr>
      <w:keepNext/>
      <w:keepLines/>
      <w:spacing w:before="40" w:after="0"/>
      <w:jc w:val="left"/>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6C1"/>
    <w:pPr>
      <w:keepNext/>
      <w:keepLines/>
      <w:spacing w:before="40" w:after="0"/>
      <w:jc w:val="left"/>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6C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C1"/>
    <w:pPr>
      <w:contextualSpacing/>
    </w:pPr>
  </w:style>
  <w:style w:type="character" w:customStyle="1" w:styleId="Heading1Char">
    <w:name w:val="Heading 1 Char"/>
    <w:basedOn w:val="DefaultParagraphFont"/>
    <w:link w:val="Heading1"/>
    <w:uiPriority w:val="9"/>
    <w:rsid w:val="003A06C1"/>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3A06C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06C1"/>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3A06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06C1"/>
    <w:rPr>
      <w:rFonts w:ascii="Times New Roman" w:eastAsiaTheme="minorEastAsia" w:hAnsi="Times New Roman"/>
      <w:color w:val="5A5A5A" w:themeColor="text1" w:themeTint="A5"/>
      <w:spacing w:val="15"/>
      <w:sz w:val="20"/>
    </w:rPr>
  </w:style>
  <w:style w:type="table" w:styleId="TableGrid">
    <w:name w:val="Table Grid"/>
    <w:basedOn w:val="TableNormal"/>
    <w:uiPriority w:val="39"/>
    <w:rsid w:val="003A06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06C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06C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3A06C1"/>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06C1"/>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06C1"/>
    <w:rPr>
      <w:rFonts w:ascii="Times New Roman" w:eastAsiaTheme="majorEastAsia" w:hAnsi="Times New Roman" w:cstheme="majorBidi"/>
      <w:i/>
      <w:iCs/>
      <w:color w:val="2F5496" w:themeColor="accent1" w:themeShade="BF"/>
      <w:sz w:val="20"/>
    </w:rPr>
  </w:style>
  <w:style w:type="character" w:customStyle="1" w:styleId="Heading5Char">
    <w:name w:val="Heading 5 Char"/>
    <w:basedOn w:val="DefaultParagraphFont"/>
    <w:link w:val="Heading5"/>
    <w:uiPriority w:val="9"/>
    <w:semiHidden/>
    <w:rsid w:val="003A06C1"/>
    <w:rPr>
      <w:rFonts w:ascii="Times New Roman" w:eastAsiaTheme="majorEastAsia" w:hAnsi="Times New Roman" w:cstheme="majorBidi"/>
      <w:color w:val="2F5496" w:themeColor="accent1" w:themeShade="BF"/>
      <w:sz w:val="20"/>
    </w:rPr>
  </w:style>
  <w:style w:type="paragraph" w:styleId="PlainText">
    <w:name w:val="Plain Text"/>
    <w:basedOn w:val="Normal"/>
    <w:link w:val="PlainTextChar"/>
    <w:uiPriority w:val="99"/>
    <w:semiHidden/>
    <w:unhideWhenUsed/>
    <w:rsid w:val="003A06C1"/>
    <w:pPr>
      <w:spacing w:after="0"/>
    </w:pPr>
    <w:rPr>
      <w:szCs w:val="21"/>
    </w:rPr>
  </w:style>
  <w:style w:type="character" w:customStyle="1" w:styleId="PlainTextChar">
    <w:name w:val="Plain Text Char"/>
    <w:basedOn w:val="DefaultParagraphFont"/>
    <w:link w:val="PlainText"/>
    <w:uiPriority w:val="99"/>
    <w:semiHidden/>
    <w:rsid w:val="003A06C1"/>
    <w:rPr>
      <w:szCs w:val="21"/>
    </w:rPr>
  </w:style>
  <w:style w:type="paragraph" w:styleId="FootnoteText">
    <w:name w:val="footnote text"/>
    <w:basedOn w:val="Normal"/>
    <w:link w:val="FootnoteTextChar"/>
    <w:uiPriority w:val="99"/>
    <w:semiHidden/>
    <w:unhideWhenUsed/>
    <w:rsid w:val="00692D05"/>
    <w:pPr>
      <w:spacing w:after="0"/>
    </w:pPr>
  </w:style>
  <w:style w:type="character" w:customStyle="1" w:styleId="FootnoteTextChar">
    <w:name w:val="Footnote Text Char"/>
    <w:basedOn w:val="DefaultParagraphFont"/>
    <w:link w:val="FootnoteText"/>
    <w:uiPriority w:val="99"/>
    <w:semiHidden/>
    <w:rsid w:val="00692D05"/>
  </w:style>
  <w:style w:type="character" w:styleId="FootnoteReference">
    <w:name w:val="footnote reference"/>
    <w:basedOn w:val="DefaultParagraphFont"/>
    <w:uiPriority w:val="99"/>
    <w:semiHidden/>
    <w:unhideWhenUsed/>
    <w:rsid w:val="00692D05"/>
    <w:rPr>
      <w:vertAlign w:val="superscript"/>
    </w:rPr>
  </w:style>
  <w:style w:type="character" w:styleId="CommentReference">
    <w:name w:val="annotation reference"/>
    <w:basedOn w:val="DefaultParagraphFont"/>
    <w:uiPriority w:val="99"/>
    <w:semiHidden/>
    <w:unhideWhenUsed/>
    <w:rsid w:val="008B0AA6"/>
    <w:rPr>
      <w:sz w:val="16"/>
      <w:szCs w:val="16"/>
    </w:rPr>
  </w:style>
  <w:style w:type="paragraph" w:styleId="CommentText">
    <w:name w:val="annotation text"/>
    <w:basedOn w:val="Normal"/>
    <w:link w:val="CommentTextChar"/>
    <w:uiPriority w:val="99"/>
    <w:unhideWhenUsed/>
    <w:rsid w:val="008B0AA6"/>
  </w:style>
  <w:style w:type="character" w:customStyle="1" w:styleId="CommentTextChar">
    <w:name w:val="Comment Text Char"/>
    <w:basedOn w:val="DefaultParagraphFont"/>
    <w:link w:val="CommentText"/>
    <w:uiPriority w:val="99"/>
    <w:rsid w:val="008B0AA6"/>
  </w:style>
  <w:style w:type="paragraph" w:styleId="CommentSubject">
    <w:name w:val="annotation subject"/>
    <w:basedOn w:val="CommentText"/>
    <w:next w:val="CommentText"/>
    <w:link w:val="CommentSubjectChar"/>
    <w:uiPriority w:val="99"/>
    <w:semiHidden/>
    <w:unhideWhenUsed/>
    <w:rsid w:val="008B0AA6"/>
    <w:rPr>
      <w:b/>
      <w:bCs/>
    </w:rPr>
  </w:style>
  <w:style w:type="character" w:customStyle="1" w:styleId="CommentSubjectChar">
    <w:name w:val="Comment Subject Char"/>
    <w:basedOn w:val="CommentTextChar"/>
    <w:link w:val="CommentSubject"/>
    <w:uiPriority w:val="99"/>
    <w:semiHidden/>
    <w:rsid w:val="008B0AA6"/>
    <w:rPr>
      <w:b/>
      <w:bCs/>
    </w:rPr>
  </w:style>
  <w:style w:type="character" w:styleId="Hyperlink">
    <w:name w:val="Hyperlink"/>
    <w:basedOn w:val="DefaultParagraphFont"/>
    <w:uiPriority w:val="99"/>
    <w:unhideWhenUsed/>
    <w:rsid w:val="005212B8"/>
    <w:rPr>
      <w:color w:val="0563C1" w:themeColor="hyperlink"/>
      <w:u w:val="single"/>
    </w:rPr>
  </w:style>
  <w:style w:type="character" w:styleId="UnresolvedMention">
    <w:name w:val="Unresolved Mention"/>
    <w:basedOn w:val="DefaultParagraphFont"/>
    <w:uiPriority w:val="99"/>
    <w:semiHidden/>
    <w:unhideWhenUsed/>
    <w:rsid w:val="006257C2"/>
    <w:rPr>
      <w:color w:val="605E5C"/>
      <w:shd w:val="clear" w:color="auto" w:fill="E1DFDD"/>
    </w:rPr>
  </w:style>
  <w:style w:type="paragraph" w:styleId="Header">
    <w:name w:val="header"/>
    <w:basedOn w:val="Normal"/>
    <w:link w:val="HeaderChar"/>
    <w:uiPriority w:val="99"/>
    <w:unhideWhenUsed/>
    <w:rsid w:val="001D140D"/>
    <w:pPr>
      <w:tabs>
        <w:tab w:val="clear" w:pos="567"/>
        <w:tab w:val="clear" w:pos="1134"/>
        <w:tab w:val="clear" w:pos="1701"/>
        <w:tab w:val="clear" w:pos="2268"/>
        <w:tab w:val="clear" w:pos="2835"/>
        <w:tab w:val="clear" w:pos="3402"/>
        <w:tab w:val="clear" w:pos="9072"/>
        <w:tab w:val="center" w:pos="4513"/>
        <w:tab w:val="right" w:pos="9026"/>
      </w:tabs>
      <w:spacing w:after="0"/>
    </w:pPr>
  </w:style>
  <w:style w:type="character" w:customStyle="1" w:styleId="HeaderChar">
    <w:name w:val="Header Char"/>
    <w:basedOn w:val="DefaultParagraphFont"/>
    <w:link w:val="Header"/>
    <w:uiPriority w:val="99"/>
    <w:rsid w:val="001D140D"/>
  </w:style>
  <w:style w:type="paragraph" w:styleId="Footer">
    <w:name w:val="footer"/>
    <w:basedOn w:val="Normal"/>
    <w:link w:val="FooterChar"/>
    <w:uiPriority w:val="99"/>
    <w:unhideWhenUsed/>
    <w:rsid w:val="001D140D"/>
    <w:pPr>
      <w:tabs>
        <w:tab w:val="clear" w:pos="567"/>
        <w:tab w:val="clear" w:pos="1134"/>
        <w:tab w:val="clear" w:pos="1701"/>
        <w:tab w:val="clear" w:pos="2268"/>
        <w:tab w:val="clear" w:pos="2835"/>
        <w:tab w:val="clear" w:pos="3402"/>
        <w:tab w:val="clear" w:pos="9072"/>
        <w:tab w:val="center" w:pos="4513"/>
        <w:tab w:val="right" w:pos="9026"/>
      </w:tabs>
      <w:spacing w:after="0"/>
    </w:pPr>
  </w:style>
  <w:style w:type="character" w:customStyle="1" w:styleId="FooterChar">
    <w:name w:val="Footer Char"/>
    <w:basedOn w:val="DefaultParagraphFont"/>
    <w:link w:val="Footer"/>
    <w:uiPriority w:val="99"/>
    <w:rsid w:val="001D140D"/>
  </w:style>
  <w:style w:type="character" w:styleId="FollowedHyperlink">
    <w:name w:val="FollowedHyperlink"/>
    <w:basedOn w:val="DefaultParagraphFont"/>
    <w:uiPriority w:val="99"/>
    <w:semiHidden/>
    <w:unhideWhenUsed/>
    <w:rsid w:val="00744C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4C6B-7B8F-4F3E-8B83-9BBDE9EC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12</Pages>
  <Words>3532</Words>
  <Characters>21532</Characters>
  <Application>Microsoft Office Word</Application>
  <DocSecurity>0</DocSecurity>
  <Lines>652</Lines>
  <Paragraphs>358</Paragraphs>
  <ScaleCrop>false</ScaleCrop>
  <Company>New South Wales Parliament</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Johnson</dc:creator>
  <cp:keywords/>
  <dc:description/>
  <cp:lastModifiedBy>Matt Johnson</cp:lastModifiedBy>
  <cp:revision>9</cp:revision>
  <dcterms:created xsi:type="dcterms:W3CDTF">2024-01-29T03:29:00Z</dcterms:created>
  <dcterms:modified xsi:type="dcterms:W3CDTF">2024-09-27T05:25:00Z</dcterms:modified>
</cp:coreProperties>
</file>