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570C" w14:textId="0D28BF22" w:rsidR="00031A25" w:rsidRDefault="00031A25" w:rsidP="006F3A5D">
      <w:pPr>
        <w:pStyle w:val="Heading1"/>
        <w:jc w:val="center"/>
        <w:rPr>
          <w:rFonts w:ascii="Times New Roman" w:hAnsi="Times New Roman" w:cs="Times New Roman"/>
        </w:rPr>
      </w:pPr>
      <w:r w:rsidRPr="006F3A5D">
        <w:rPr>
          <w:rFonts w:ascii="Times New Roman" w:hAnsi="Times New Roman" w:cs="Times New Roman"/>
        </w:rPr>
        <w:t xml:space="preserve">Building inter-generational resilience through youth engagement with parliaments: Green shoots in Australia and lessons from England, Ireland, </w:t>
      </w:r>
      <w:proofErr w:type="gramStart"/>
      <w:r w:rsidRPr="006F3A5D">
        <w:rPr>
          <w:rFonts w:ascii="Times New Roman" w:hAnsi="Times New Roman" w:cs="Times New Roman"/>
        </w:rPr>
        <w:t>Scotland</w:t>
      </w:r>
      <w:proofErr w:type="gramEnd"/>
      <w:r w:rsidRPr="006F3A5D">
        <w:rPr>
          <w:rFonts w:ascii="Times New Roman" w:hAnsi="Times New Roman" w:cs="Times New Roman"/>
        </w:rPr>
        <w:t xml:space="preserve"> and Wales</w:t>
      </w:r>
    </w:p>
    <w:p w14:paraId="026CAE2C" w14:textId="77777777" w:rsidR="006F3A5D" w:rsidRPr="006F3A5D" w:rsidRDefault="006F3A5D" w:rsidP="006F3A5D">
      <w:pPr>
        <w:rPr>
          <w:rFonts w:ascii="Times New Roman" w:hAnsi="Times New Roman" w:cs="Times New Roman"/>
        </w:rPr>
      </w:pPr>
    </w:p>
    <w:p w14:paraId="41FC7556" w14:textId="287B2445" w:rsidR="006F3A5D" w:rsidRDefault="006F3A5D" w:rsidP="006F3A5D">
      <w:pPr>
        <w:jc w:val="center"/>
        <w:rPr>
          <w:rFonts w:ascii="Times New Roman" w:hAnsi="Times New Roman" w:cs="Times New Roman"/>
        </w:rPr>
      </w:pPr>
      <w:r>
        <w:rPr>
          <w:rFonts w:ascii="Times New Roman" w:hAnsi="Times New Roman" w:cs="Times New Roman"/>
        </w:rPr>
        <w:t>Dr Sarah Moulds, Associate Professor in Law, Justice &amp; Society Unit, University of South Australia</w:t>
      </w:r>
    </w:p>
    <w:p w14:paraId="6FBAA413" w14:textId="5AF241FC" w:rsidR="006F3A5D" w:rsidRDefault="0035285C" w:rsidP="006F3A5D">
      <w:pPr>
        <w:jc w:val="center"/>
        <w:rPr>
          <w:rFonts w:ascii="Times New Roman" w:hAnsi="Times New Roman" w:cs="Times New Roman"/>
        </w:rPr>
      </w:pPr>
      <w:r>
        <w:rPr>
          <w:rFonts w:ascii="Times New Roman" w:hAnsi="Times New Roman" w:cs="Times New Roman"/>
        </w:rPr>
        <w:t xml:space="preserve">27 </w:t>
      </w:r>
      <w:r w:rsidR="006F3A5D">
        <w:rPr>
          <w:rFonts w:ascii="Times New Roman" w:hAnsi="Times New Roman" w:cs="Times New Roman"/>
        </w:rPr>
        <w:t>August 2024</w:t>
      </w:r>
    </w:p>
    <w:p w14:paraId="0F197C89" w14:textId="77777777" w:rsidR="006F3A5D" w:rsidRDefault="006F3A5D" w:rsidP="006F3A5D">
      <w:pPr>
        <w:jc w:val="center"/>
        <w:rPr>
          <w:rFonts w:ascii="Times New Roman" w:hAnsi="Times New Roman" w:cs="Times New Roman"/>
        </w:rPr>
      </w:pPr>
    </w:p>
    <w:p w14:paraId="0E77624C" w14:textId="77777777" w:rsidR="006F3A5D" w:rsidRDefault="006F3A5D" w:rsidP="006F3A5D">
      <w:pPr>
        <w:jc w:val="center"/>
        <w:rPr>
          <w:rFonts w:ascii="Times New Roman" w:hAnsi="Times New Roman" w:cs="Times New Roman"/>
        </w:rPr>
      </w:pPr>
    </w:p>
    <w:p w14:paraId="22231FEA" w14:textId="57EBE0F0" w:rsidR="009A1DEA" w:rsidRPr="009A1DEA" w:rsidRDefault="00EB506B" w:rsidP="009A1DEA">
      <w:pPr>
        <w:pStyle w:val="Heading2"/>
      </w:pPr>
      <w:r w:rsidRPr="00A811FC">
        <w:t>ABSTRACT</w:t>
      </w:r>
    </w:p>
    <w:p w14:paraId="388C2681" w14:textId="518D27F1" w:rsidR="009A1DEA" w:rsidRPr="009A1DEA" w:rsidRDefault="009A1DEA" w:rsidP="009A1DEA">
      <w:pPr>
        <w:jc w:val="both"/>
        <w:rPr>
          <w:rFonts w:ascii="Times New Roman" w:hAnsi="Times New Roman" w:cs="Times New Roman"/>
        </w:rPr>
      </w:pPr>
      <w:r w:rsidRPr="009A1DEA">
        <w:rPr>
          <w:rFonts w:ascii="Times New Roman" w:hAnsi="Times New Roman" w:cs="Times New Roman"/>
          <w:lang w:val="en-GB"/>
        </w:rPr>
        <w:t xml:space="preserve">Many communities feel excluded from, or marginalised within, the institutions and processes that govern their lives. For those experiencing social disadvantage, institutions considered to be symbols of healthy democracies, such as parliaments, are increasingly at risk of being perceived as irrelevant, </w:t>
      </w:r>
      <w:proofErr w:type="gramStart"/>
      <w:r w:rsidRPr="009A1DEA">
        <w:rPr>
          <w:rFonts w:ascii="Times New Roman" w:hAnsi="Times New Roman" w:cs="Times New Roman"/>
          <w:lang w:val="en-GB"/>
        </w:rPr>
        <w:t>ineffective</w:t>
      </w:r>
      <w:proofErr w:type="gramEnd"/>
      <w:r w:rsidRPr="009A1DEA">
        <w:rPr>
          <w:rFonts w:ascii="Times New Roman" w:hAnsi="Times New Roman" w:cs="Times New Roman"/>
          <w:lang w:val="en-GB"/>
        </w:rPr>
        <w:t xml:space="preserve"> or even illegitimate. When this occurs, parliamentarians can struggle to generate and sustain the political support needed to advance policy solutions to complex social challenges. To avoid paralysing the institutions relied upon to transition our societies into more equitable and sustainable futures, we must better understand how parliamentary engagement systems can address this downward spiral of citizen distrust and political inaction.  </w:t>
      </w:r>
      <w:r w:rsidR="00394096">
        <w:rPr>
          <w:rFonts w:ascii="Times New Roman" w:hAnsi="Times New Roman" w:cs="Times New Roman"/>
          <w:lang w:val="en-GB"/>
        </w:rPr>
        <w:t>W</w:t>
      </w:r>
      <w:r w:rsidRPr="009A1DEA">
        <w:rPr>
          <w:rFonts w:ascii="Times New Roman" w:hAnsi="Times New Roman" w:cs="Times New Roman"/>
          <w:lang w:val="en-GB"/>
        </w:rPr>
        <w:t xml:space="preserve">e must </w:t>
      </w:r>
      <w:r w:rsidRPr="009A1DEA">
        <w:rPr>
          <w:rFonts w:ascii="Times New Roman" w:hAnsi="Times New Roman" w:cs="Times New Roman"/>
        </w:rPr>
        <w:t xml:space="preserve">be prepared to </w:t>
      </w:r>
      <w:r w:rsidRPr="009A1DEA">
        <w:rPr>
          <w:rFonts w:ascii="Times New Roman" w:hAnsi="Times New Roman" w:cs="Times New Roman"/>
          <w:i/>
          <w:iCs/>
        </w:rPr>
        <w:t>listen</w:t>
      </w:r>
      <w:r w:rsidRPr="009A1DEA">
        <w:rPr>
          <w:rFonts w:ascii="Times New Roman" w:hAnsi="Times New Roman" w:cs="Times New Roman"/>
        </w:rPr>
        <w:t xml:space="preserve"> to the views of young people themselves.  In this paper, I argue that this type of democratic listening – and refiguring of the younger generation as </w:t>
      </w:r>
      <w:r w:rsidRPr="009A1DEA">
        <w:rPr>
          <w:rFonts w:ascii="Times New Roman" w:hAnsi="Times New Roman" w:cs="Times New Roman"/>
          <w:i/>
          <w:iCs/>
        </w:rPr>
        <w:t>citizens now</w:t>
      </w:r>
      <w:r w:rsidRPr="009A1DEA">
        <w:rPr>
          <w:rFonts w:ascii="Times New Roman" w:hAnsi="Times New Roman" w:cs="Times New Roman"/>
        </w:rPr>
        <w:t xml:space="preserve">– is critical to developing and sustaining intergenerational resilience in our modern democracies. Intergenerational resilience refers to the ability of communities to maintain and adapt their well-being and cultural continuity across generations in the face of challenges and adversity. </w:t>
      </w:r>
      <w:r w:rsidR="00394096">
        <w:rPr>
          <w:rFonts w:ascii="Times New Roman" w:hAnsi="Times New Roman" w:cs="Times New Roman"/>
        </w:rPr>
        <w:t xml:space="preserve">I </w:t>
      </w:r>
      <w:r w:rsidRPr="009A1DEA">
        <w:rPr>
          <w:rFonts w:ascii="Times New Roman" w:hAnsi="Times New Roman" w:cs="Times New Roman"/>
        </w:rPr>
        <w:t>identify the guiding principles, key objectives, catalysts for change needed to improve intergenerational resilience in modern democracies like Australia, with a focus on strategies that seek to improve the quality of democratic engagement by young people.  I also share perspectives gained from my 2023 Churchill Fellowship that took me to England, Scotland, Northern Ireland, Republic of Ireland and Wales, highlighting some key case studies as well as attempting to link some of the ideas I have encountered with the relevant scholarship and literature in this field.  The Paper concludes with a call to action and toolkit for those working within parliamentary settings to use, and contribute to, as we work together to reimagine youth engagement with modern parliaments and bolster the foundations for securing intergenerational resilience in our societies.</w:t>
      </w:r>
    </w:p>
    <w:p w14:paraId="22904753" w14:textId="1502C578" w:rsidR="006F3A5D" w:rsidRDefault="006F3A5D">
      <w:pPr>
        <w:rPr>
          <w:rFonts w:ascii="Times New Roman" w:hAnsi="Times New Roman" w:cs="Times New Roman"/>
        </w:rPr>
      </w:pPr>
      <w:r>
        <w:rPr>
          <w:rFonts w:ascii="Times New Roman" w:hAnsi="Times New Roman" w:cs="Times New Roman"/>
        </w:rPr>
        <w:br w:type="page"/>
      </w:r>
    </w:p>
    <w:p w14:paraId="76CE9FC5" w14:textId="0930D33D" w:rsidR="00A6312E" w:rsidRPr="006F3A5D" w:rsidRDefault="00C9487B" w:rsidP="002D0CB1">
      <w:pPr>
        <w:pStyle w:val="Heading2"/>
        <w:spacing w:before="0" w:beforeAutospacing="0" w:after="120" w:afterAutospacing="0"/>
        <w:rPr>
          <w:color w:val="000000"/>
          <w:sz w:val="24"/>
          <w:szCs w:val="24"/>
        </w:rPr>
      </w:pPr>
      <w:r w:rsidRPr="006F3A5D">
        <w:lastRenderedPageBreak/>
        <w:t xml:space="preserve">Introduction </w:t>
      </w:r>
    </w:p>
    <w:p w14:paraId="45F92474" w14:textId="495F5ECC" w:rsidR="00137B79" w:rsidRPr="006F3A5D" w:rsidRDefault="00E25AFF" w:rsidP="002D0CB1">
      <w:pPr>
        <w:spacing w:after="120" w:line="240" w:lineRule="auto"/>
        <w:jc w:val="both"/>
        <w:rPr>
          <w:rFonts w:ascii="Times New Roman" w:hAnsi="Times New Roman" w:cs="Times New Roman"/>
        </w:rPr>
      </w:pPr>
      <w:r w:rsidRPr="006F3A5D">
        <w:rPr>
          <w:rFonts w:ascii="Times New Roman" w:hAnsi="Times New Roman" w:cs="Times New Roman"/>
          <w:lang w:val="en-GB"/>
        </w:rPr>
        <w:t xml:space="preserve">Many communities feel excluded from, or marginalised within, the institutions and processes that govern their lives. For those experiencing social disadvantage, institutions considered to be symbols of healthy democracies, such as parliaments, are increasingly at risk of being perceived as irrelevant, </w:t>
      </w:r>
      <w:proofErr w:type="gramStart"/>
      <w:r w:rsidRPr="006F3A5D">
        <w:rPr>
          <w:rFonts w:ascii="Times New Roman" w:hAnsi="Times New Roman" w:cs="Times New Roman"/>
          <w:lang w:val="en-GB"/>
        </w:rPr>
        <w:t>ineffective</w:t>
      </w:r>
      <w:proofErr w:type="gramEnd"/>
      <w:r w:rsidRPr="006F3A5D">
        <w:rPr>
          <w:rFonts w:ascii="Times New Roman" w:hAnsi="Times New Roman" w:cs="Times New Roman"/>
          <w:lang w:val="en-GB"/>
        </w:rPr>
        <w:t xml:space="preserve"> or even illegitimate. When this occurs, parliamentarians can struggle to generate and sustain the political support needed to advance policy solutions to complex social challenges. To avoid paralysing the institutions relied upon to transition our societies into more equitable and sustainable futures, we must better understand how parliamentary engagement systems can address this downward spiral of citizen distrust and political inaction.</w:t>
      </w:r>
      <w:r w:rsidR="00CC1B33" w:rsidRPr="006F3A5D">
        <w:rPr>
          <w:rFonts w:ascii="Times New Roman" w:hAnsi="Times New Roman" w:cs="Times New Roman"/>
          <w:lang w:val="en-GB"/>
        </w:rPr>
        <w:t xml:space="preserve">  </w:t>
      </w:r>
      <w:proofErr w:type="gramStart"/>
      <w:r w:rsidR="00CC1B33" w:rsidRPr="006F3A5D">
        <w:rPr>
          <w:rFonts w:ascii="Times New Roman" w:hAnsi="Times New Roman" w:cs="Times New Roman"/>
          <w:lang w:val="en-GB"/>
        </w:rPr>
        <w:t>In particular, we</w:t>
      </w:r>
      <w:proofErr w:type="gramEnd"/>
      <w:r w:rsidR="00CC1B33" w:rsidRPr="006F3A5D">
        <w:rPr>
          <w:rFonts w:ascii="Times New Roman" w:hAnsi="Times New Roman" w:cs="Times New Roman"/>
          <w:lang w:val="en-GB"/>
        </w:rPr>
        <w:t xml:space="preserve"> must </w:t>
      </w:r>
      <w:r w:rsidR="00137B79" w:rsidRPr="006F3A5D">
        <w:rPr>
          <w:rFonts w:ascii="Times New Roman" w:hAnsi="Times New Roman" w:cs="Times New Roman"/>
        </w:rPr>
        <w:t xml:space="preserve">be prepared to </w:t>
      </w:r>
      <w:r w:rsidR="00137B79" w:rsidRPr="006F3A5D">
        <w:rPr>
          <w:rFonts w:ascii="Times New Roman" w:hAnsi="Times New Roman" w:cs="Times New Roman"/>
          <w:i/>
          <w:iCs/>
        </w:rPr>
        <w:t>listen</w:t>
      </w:r>
      <w:r w:rsidR="00137B79" w:rsidRPr="006F3A5D">
        <w:rPr>
          <w:rFonts w:ascii="Times New Roman" w:hAnsi="Times New Roman" w:cs="Times New Roman"/>
        </w:rPr>
        <w:t xml:space="preserve"> to the views of young people themselves. </w:t>
      </w:r>
      <w:r w:rsidR="0017271A" w:rsidRPr="006F3A5D">
        <w:rPr>
          <w:rFonts w:ascii="Times New Roman" w:hAnsi="Times New Roman" w:cs="Times New Roman"/>
        </w:rPr>
        <w:t xml:space="preserve"> As </w:t>
      </w:r>
      <w:proofErr w:type="spellStart"/>
      <w:r w:rsidR="0017271A" w:rsidRPr="006F3A5D">
        <w:rPr>
          <w:rFonts w:ascii="Times New Roman" w:hAnsi="Times New Roman" w:cs="Times New Roman"/>
        </w:rPr>
        <w:t>Foa</w:t>
      </w:r>
      <w:proofErr w:type="spellEnd"/>
      <w:r w:rsidR="0017271A" w:rsidRPr="006F3A5D">
        <w:rPr>
          <w:rFonts w:ascii="Times New Roman" w:hAnsi="Times New Roman" w:cs="Times New Roman"/>
        </w:rPr>
        <w:t xml:space="preserve"> et al </w:t>
      </w:r>
      <w:r w:rsidR="00C9487B" w:rsidRPr="006F3A5D">
        <w:rPr>
          <w:rFonts w:ascii="Times New Roman" w:hAnsi="Times New Roman" w:cs="Times New Roman"/>
        </w:rPr>
        <w:t>observe, ‘t</w:t>
      </w:r>
      <w:r w:rsidR="00137B79" w:rsidRPr="006F3A5D">
        <w:rPr>
          <w:rFonts w:ascii="Times New Roman" w:hAnsi="Times New Roman" w:cs="Times New Roman"/>
        </w:rPr>
        <w:t>here is value in knowing how, why and when younger citizens are losing faith in the ability of democracy to deliver</w:t>
      </w:r>
      <w:r w:rsidR="00C9487B" w:rsidRPr="006F3A5D">
        <w:rPr>
          <w:rFonts w:ascii="Times New Roman" w:hAnsi="Times New Roman" w:cs="Times New Roman"/>
        </w:rPr>
        <w:t>’</w:t>
      </w:r>
      <w:r w:rsidR="00137B79" w:rsidRPr="006F3A5D">
        <w:rPr>
          <w:rFonts w:ascii="Times New Roman" w:hAnsi="Times New Roman" w:cs="Times New Roman"/>
        </w:rPr>
        <w:t xml:space="preserve"> (</w:t>
      </w:r>
      <w:proofErr w:type="spellStart"/>
      <w:r w:rsidR="00137B79" w:rsidRPr="006F3A5D">
        <w:rPr>
          <w:rFonts w:ascii="Times New Roman" w:hAnsi="Times New Roman" w:cs="Times New Roman"/>
        </w:rPr>
        <w:t>Foa</w:t>
      </w:r>
      <w:proofErr w:type="spellEnd"/>
      <w:r w:rsidR="00137B79" w:rsidRPr="006F3A5D">
        <w:rPr>
          <w:rFonts w:ascii="Times New Roman" w:hAnsi="Times New Roman" w:cs="Times New Roman"/>
        </w:rPr>
        <w:t xml:space="preserve"> et al, 2022, p. 4)</w:t>
      </w:r>
      <w:r w:rsidR="006E7546" w:rsidRPr="006F3A5D">
        <w:rPr>
          <w:rFonts w:ascii="Times New Roman" w:hAnsi="Times New Roman" w:cs="Times New Roman"/>
        </w:rPr>
        <w:t>.</w:t>
      </w:r>
    </w:p>
    <w:p w14:paraId="21BF02E1" w14:textId="7E877935" w:rsidR="00DF7DA7" w:rsidRPr="006F3A5D" w:rsidRDefault="006E7546" w:rsidP="002D0CB1">
      <w:pPr>
        <w:spacing w:after="120" w:line="240" w:lineRule="auto"/>
        <w:jc w:val="both"/>
        <w:rPr>
          <w:rFonts w:ascii="Times New Roman" w:hAnsi="Times New Roman" w:cs="Times New Roman"/>
        </w:rPr>
      </w:pPr>
      <w:proofErr w:type="gramStart"/>
      <w:r w:rsidRPr="006F3A5D">
        <w:rPr>
          <w:rFonts w:ascii="Times New Roman" w:hAnsi="Times New Roman" w:cs="Times New Roman"/>
        </w:rPr>
        <w:t>In order to</w:t>
      </w:r>
      <w:proofErr w:type="gramEnd"/>
      <w:r w:rsidRPr="006F3A5D">
        <w:rPr>
          <w:rFonts w:ascii="Times New Roman" w:hAnsi="Times New Roman" w:cs="Times New Roman"/>
        </w:rPr>
        <w:t xml:space="preserve"> engage in this type of democratic listening we must also challenge ourselves to move beyond what Threadgold</w:t>
      </w:r>
      <w:r w:rsidR="00C47D15" w:rsidRPr="006F3A5D">
        <w:rPr>
          <w:rFonts w:ascii="Times New Roman" w:hAnsi="Times New Roman" w:cs="Times New Roman"/>
        </w:rPr>
        <w:t xml:space="preserve"> (2020)</w:t>
      </w:r>
      <w:r w:rsidRPr="006F3A5D">
        <w:rPr>
          <w:rFonts w:ascii="Times New Roman" w:hAnsi="Times New Roman" w:cs="Times New Roman"/>
        </w:rPr>
        <w:t xml:space="preserve"> has described as </w:t>
      </w:r>
      <w:r w:rsidR="00F32714" w:rsidRPr="006F3A5D">
        <w:rPr>
          <w:rFonts w:ascii="Times New Roman" w:hAnsi="Times New Roman" w:cs="Times New Roman"/>
        </w:rPr>
        <w:t>the conventional ‘figures of youth’ conceptualisation of young people and the role they play in our societies</w:t>
      </w:r>
      <w:r w:rsidR="00B5500F" w:rsidRPr="006F3A5D">
        <w:rPr>
          <w:rFonts w:ascii="Times New Roman" w:hAnsi="Times New Roman" w:cs="Times New Roman"/>
        </w:rPr>
        <w:t xml:space="preserve"> (Waite et al, 2024)</w:t>
      </w:r>
      <w:r w:rsidR="00F32714" w:rsidRPr="006F3A5D">
        <w:rPr>
          <w:rFonts w:ascii="Times New Roman" w:hAnsi="Times New Roman" w:cs="Times New Roman"/>
        </w:rPr>
        <w:t xml:space="preserve">.  </w:t>
      </w:r>
      <w:r w:rsidR="00795A36" w:rsidRPr="006F3A5D">
        <w:rPr>
          <w:rFonts w:ascii="Times New Roman" w:hAnsi="Times New Roman" w:cs="Times New Roman"/>
        </w:rPr>
        <w:t xml:space="preserve">Three of the ‘figures’ analysed by Threadgold (2020) position young people as </w:t>
      </w:r>
      <w:r w:rsidR="00DF7DA7" w:rsidRPr="006F3A5D">
        <w:rPr>
          <w:rFonts w:ascii="Times New Roman" w:hAnsi="Times New Roman" w:cs="Times New Roman"/>
        </w:rPr>
        <w:t>‘figures of hope’, ‘risk figures’, and ‘revolutionary figures.’</w:t>
      </w:r>
      <w:r w:rsidR="00795A36" w:rsidRPr="006F3A5D">
        <w:rPr>
          <w:rFonts w:ascii="Times New Roman" w:hAnsi="Times New Roman" w:cs="Times New Roman"/>
        </w:rPr>
        <w:t xml:space="preserve">  T</w:t>
      </w:r>
      <w:r w:rsidR="00051C5F" w:rsidRPr="006F3A5D">
        <w:rPr>
          <w:rFonts w:ascii="Times New Roman" w:hAnsi="Times New Roman" w:cs="Times New Roman"/>
        </w:rPr>
        <w:t>he dominance of these ‘figures’ in our conceptualising of young people -particularly when applied to public policy making - simultaneously burdens and limits the capacity of young people to participate at active citizens</w:t>
      </w:r>
      <w:r w:rsidR="00395F68" w:rsidRPr="006F3A5D">
        <w:rPr>
          <w:rFonts w:ascii="Times New Roman" w:hAnsi="Times New Roman" w:cs="Times New Roman"/>
        </w:rPr>
        <w:t xml:space="preserve">, and underestimates their interest, </w:t>
      </w:r>
      <w:proofErr w:type="gramStart"/>
      <w:r w:rsidR="00395F68" w:rsidRPr="006F3A5D">
        <w:rPr>
          <w:rFonts w:ascii="Times New Roman" w:hAnsi="Times New Roman" w:cs="Times New Roman"/>
        </w:rPr>
        <w:t>power</w:t>
      </w:r>
      <w:proofErr w:type="gramEnd"/>
      <w:r w:rsidR="00395F68" w:rsidRPr="006F3A5D">
        <w:rPr>
          <w:rFonts w:ascii="Times New Roman" w:hAnsi="Times New Roman" w:cs="Times New Roman"/>
        </w:rPr>
        <w:t xml:space="preserve"> and agency in the full spectrum of challenges facing modern democracy.  For example, </w:t>
      </w:r>
      <w:r w:rsidR="00B741E8" w:rsidRPr="006F3A5D">
        <w:rPr>
          <w:rFonts w:ascii="Times New Roman" w:hAnsi="Times New Roman" w:cs="Times New Roman"/>
        </w:rPr>
        <w:t>as Waite et al</w:t>
      </w:r>
      <w:r w:rsidR="00B5500F" w:rsidRPr="006F3A5D">
        <w:rPr>
          <w:rFonts w:ascii="Times New Roman" w:hAnsi="Times New Roman" w:cs="Times New Roman"/>
        </w:rPr>
        <w:t xml:space="preserve"> (2024)</w:t>
      </w:r>
      <w:r w:rsidR="00B741E8" w:rsidRPr="006F3A5D">
        <w:rPr>
          <w:rFonts w:ascii="Times New Roman" w:hAnsi="Times New Roman" w:cs="Times New Roman"/>
        </w:rPr>
        <w:t xml:space="preserve"> explain</w:t>
      </w:r>
      <w:r w:rsidR="00B81065" w:rsidRPr="006F3A5D">
        <w:rPr>
          <w:rFonts w:ascii="Times New Roman" w:hAnsi="Times New Roman" w:cs="Times New Roman"/>
        </w:rPr>
        <w:t>,</w:t>
      </w:r>
      <w:r w:rsidR="00B741E8" w:rsidRPr="006F3A5D">
        <w:rPr>
          <w:rFonts w:ascii="Times New Roman" w:hAnsi="Times New Roman" w:cs="Times New Roman"/>
        </w:rPr>
        <w:t xml:space="preserve"> young people as ‘figure of hope’ </w:t>
      </w:r>
      <w:r w:rsidR="00DF7DA7" w:rsidRPr="006F3A5D">
        <w:rPr>
          <w:rFonts w:ascii="Times New Roman" w:hAnsi="Times New Roman" w:cs="Times New Roman"/>
        </w:rPr>
        <w:t>positions young people as</w:t>
      </w:r>
      <w:r w:rsidR="00B741E8" w:rsidRPr="006F3A5D">
        <w:rPr>
          <w:rFonts w:ascii="Times New Roman" w:hAnsi="Times New Roman" w:cs="Times New Roman"/>
        </w:rPr>
        <w:t>’</w:t>
      </w:r>
      <w:r w:rsidR="00DF7DA7" w:rsidRPr="006F3A5D">
        <w:rPr>
          <w:rFonts w:ascii="Times New Roman" w:hAnsi="Times New Roman" w:cs="Times New Roman"/>
        </w:rPr>
        <w:t xml:space="preserve"> a representation of the future</w:t>
      </w:r>
      <w:r w:rsidR="00B741E8" w:rsidRPr="006F3A5D">
        <w:rPr>
          <w:rFonts w:ascii="Times New Roman" w:hAnsi="Times New Roman" w:cs="Times New Roman"/>
        </w:rPr>
        <w:t>’</w:t>
      </w:r>
      <w:r w:rsidR="00DF7DA7" w:rsidRPr="006F3A5D">
        <w:rPr>
          <w:rFonts w:ascii="Times New Roman" w:hAnsi="Times New Roman" w:cs="Times New Roman"/>
        </w:rPr>
        <w:t xml:space="preserve">, in which the future </w:t>
      </w:r>
      <w:r w:rsidR="00B741E8" w:rsidRPr="006F3A5D">
        <w:rPr>
          <w:rFonts w:ascii="Times New Roman" w:hAnsi="Times New Roman" w:cs="Times New Roman"/>
        </w:rPr>
        <w:t>‘</w:t>
      </w:r>
      <w:r w:rsidR="00DF7DA7" w:rsidRPr="006F3A5D">
        <w:rPr>
          <w:rFonts w:ascii="Times New Roman" w:hAnsi="Times New Roman" w:cs="Times New Roman"/>
        </w:rPr>
        <w:t>can be secured for all if young people are effectively looked after and protected</w:t>
      </w:r>
      <w:r w:rsidR="00B741E8" w:rsidRPr="006F3A5D">
        <w:rPr>
          <w:rFonts w:ascii="Times New Roman" w:hAnsi="Times New Roman" w:cs="Times New Roman"/>
        </w:rPr>
        <w:t>’</w:t>
      </w:r>
      <w:r w:rsidR="00DF7DA7" w:rsidRPr="006F3A5D">
        <w:rPr>
          <w:rFonts w:ascii="Times New Roman" w:hAnsi="Times New Roman" w:cs="Times New Roman"/>
        </w:rPr>
        <w:t xml:space="preserve">. </w:t>
      </w:r>
      <w:r w:rsidR="00B741E8" w:rsidRPr="006F3A5D">
        <w:rPr>
          <w:rFonts w:ascii="Times New Roman" w:hAnsi="Times New Roman" w:cs="Times New Roman"/>
        </w:rPr>
        <w:t>This can also situate</w:t>
      </w:r>
      <w:r w:rsidR="00DF7DA7" w:rsidRPr="006F3A5D">
        <w:rPr>
          <w:rFonts w:ascii="Times New Roman" w:hAnsi="Times New Roman" w:cs="Times New Roman"/>
        </w:rPr>
        <w:t xml:space="preserve"> young people as a ‘surrogate for anxiety about the future’ (Threadgold 2020, 693</w:t>
      </w:r>
      <w:r w:rsidR="00B5500F" w:rsidRPr="006F3A5D">
        <w:rPr>
          <w:rFonts w:ascii="Times New Roman" w:hAnsi="Times New Roman" w:cs="Times New Roman"/>
        </w:rPr>
        <w:t>; Waite et al, 2024)</w:t>
      </w:r>
      <w:r w:rsidR="00DF7DA7" w:rsidRPr="006F3A5D">
        <w:rPr>
          <w:rFonts w:ascii="Times New Roman" w:hAnsi="Times New Roman" w:cs="Times New Roman"/>
        </w:rPr>
        <w:t>)</w:t>
      </w:r>
      <w:r w:rsidR="00E02D60" w:rsidRPr="006F3A5D">
        <w:rPr>
          <w:rFonts w:ascii="Times New Roman" w:hAnsi="Times New Roman" w:cs="Times New Roman"/>
        </w:rPr>
        <w:t xml:space="preserve">.  In this conceptualisation, </w:t>
      </w:r>
      <w:r w:rsidR="00DF7DA7" w:rsidRPr="006F3A5D">
        <w:rPr>
          <w:rFonts w:ascii="Times New Roman" w:hAnsi="Times New Roman" w:cs="Times New Roman"/>
        </w:rPr>
        <w:t>young people are seen as inherently vulnerable, while also being vital for future prosperity</w:t>
      </w:r>
      <w:r w:rsidR="00E02D60" w:rsidRPr="006F3A5D">
        <w:rPr>
          <w:rFonts w:ascii="Times New Roman" w:hAnsi="Times New Roman" w:cs="Times New Roman"/>
        </w:rPr>
        <w:t xml:space="preserve"> (</w:t>
      </w:r>
      <w:proofErr w:type="spellStart"/>
      <w:r w:rsidR="00E02D60" w:rsidRPr="006F3A5D">
        <w:rPr>
          <w:rFonts w:ascii="Times New Roman" w:hAnsi="Times New Roman" w:cs="Times New Roman"/>
        </w:rPr>
        <w:t>Gorur</w:t>
      </w:r>
      <w:proofErr w:type="spellEnd"/>
      <w:r w:rsidR="00B859EF" w:rsidRPr="006F3A5D">
        <w:rPr>
          <w:rFonts w:ascii="Times New Roman" w:hAnsi="Times New Roman" w:cs="Times New Roman"/>
        </w:rPr>
        <w:t xml:space="preserve">, </w:t>
      </w:r>
      <w:r w:rsidR="00E02D60" w:rsidRPr="006F3A5D">
        <w:rPr>
          <w:rFonts w:ascii="Times New Roman" w:hAnsi="Times New Roman" w:cs="Times New Roman"/>
        </w:rPr>
        <w:t>2015</w:t>
      </w:r>
      <w:r w:rsidR="00B5500F" w:rsidRPr="006F3A5D">
        <w:rPr>
          <w:rFonts w:ascii="Times New Roman" w:hAnsi="Times New Roman" w:cs="Times New Roman"/>
        </w:rPr>
        <w:t>; Waite et al, 2024</w:t>
      </w:r>
      <w:r w:rsidR="00E02D60" w:rsidRPr="006F3A5D">
        <w:rPr>
          <w:rFonts w:ascii="Times New Roman" w:hAnsi="Times New Roman" w:cs="Times New Roman"/>
        </w:rPr>
        <w:t>)</w:t>
      </w:r>
      <w:r w:rsidR="00DF7DA7" w:rsidRPr="006F3A5D">
        <w:rPr>
          <w:rFonts w:ascii="Times New Roman" w:hAnsi="Times New Roman" w:cs="Times New Roman"/>
        </w:rPr>
        <w:t xml:space="preserve">. </w:t>
      </w:r>
      <w:r w:rsidR="00B859EF" w:rsidRPr="006F3A5D">
        <w:rPr>
          <w:rFonts w:ascii="Times New Roman" w:hAnsi="Times New Roman" w:cs="Times New Roman"/>
        </w:rPr>
        <w:t xml:space="preserve"> Conversely, when young people are conceptualised as ‘figures of risk’, </w:t>
      </w:r>
      <w:r w:rsidR="00F16A53" w:rsidRPr="006F3A5D">
        <w:rPr>
          <w:rFonts w:ascii="Times New Roman" w:hAnsi="Times New Roman" w:cs="Times New Roman"/>
        </w:rPr>
        <w:t xml:space="preserve">such as in the context of policy responses to ‘youth crime’, </w:t>
      </w:r>
      <w:r w:rsidR="00B859EF" w:rsidRPr="006F3A5D">
        <w:rPr>
          <w:rFonts w:ascii="Times New Roman" w:hAnsi="Times New Roman" w:cs="Times New Roman"/>
        </w:rPr>
        <w:t xml:space="preserve">they are positioned as a </w:t>
      </w:r>
      <w:r w:rsidR="00F16A53" w:rsidRPr="006F3A5D">
        <w:rPr>
          <w:rFonts w:ascii="Times New Roman" w:hAnsi="Times New Roman" w:cs="Times New Roman"/>
        </w:rPr>
        <w:t>‘problem that needs to be solved’, rather than an active participant in the identification and development of state responses to criminal activity</w:t>
      </w:r>
      <w:r w:rsidR="00B5500F" w:rsidRPr="006F3A5D">
        <w:rPr>
          <w:rFonts w:ascii="Times New Roman" w:hAnsi="Times New Roman" w:cs="Times New Roman"/>
        </w:rPr>
        <w:t xml:space="preserve"> (Waite et al, 2024)</w:t>
      </w:r>
      <w:r w:rsidR="00F16A53" w:rsidRPr="006F3A5D">
        <w:rPr>
          <w:rFonts w:ascii="Times New Roman" w:hAnsi="Times New Roman" w:cs="Times New Roman"/>
        </w:rPr>
        <w:t xml:space="preserve">.  </w:t>
      </w:r>
      <w:r w:rsidR="00A90942" w:rsidRPr="006F3A5D">
        <w:rPr>
          <w:rFonts w:ascii="Times New Roman" w:hAnsi="Times New Roman" w:cs="Times New Roman"/>
        </w:rPr>
        <w:t xml:space="preserve">The challenge for those of us in positions of political power or policy influence is to transcend these figures and embrace a conceptualisation of young people </w:t>
      </w:r>
      <w:r w:rsidR="00A90942" w:rsidRPr="006F3A5D">
        <w:rPr>
          <w:rFonts w:ascii="Times New Roman" w:hAnsi="Times New Roman" w:cs="Times New Roman"/>
          <w:i/>
          <w:iCs/>
        </w:rPr>
        <w:t xml:space="preserve">as citizens now, </w:t>
      </w:r>
      <w:r w:rsidR="00A90942" w:rsidRPr="006F3A5D">
        <w:rPr>
          <w:rFonts w:ascii="Times New Roman" w:hAnsi="Times New Roman" w:cs="Times New Roman"/>
        </w:rPr>
        <w:t xml:space="preserve">with the full range of democratic agency that </w:t>
      </w:r>
      <w:r w:rsidR="00B81065" w:rsidRPr="006F3A5D">
        <w:rPr>
          <w:rFonts w:ascii="Times New Roman" w:hAnsi="Times New Roman" w:cs="Times New Roman"/>
        </w:rPr>
        <w:t>is assumed to belong to other citizens in our polity.</w:t>
      </w:r>
    </w:p>
    <w:p w14:paraId="6F89265C" w14:textId="1670708A" w:rsidR="00356D46" w:rsidRDefault="00CA1143"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 argue that this type of democratic listening – and refiguring of the younger generation as </w:t>
      </w:r>
      <w:r w:rsidRPr="006F3A5D">
        <w:rPr>
          <w:rFonts w:ascii="Times New Roman" w:hAnsi="Times New Roman" w:cs="Times New Roman"/>
          <w:i/>
          <w:iCs/>
        </w:rPr>
        <w:t xml:space="preserve">citizens now </w:t>
      </w:r>
      <w:r w:rsidRPr="006F3A5D">
        <w:rPr>
          <w:rFonts w:ascii="Times New Roman" w:hAnsi="Times New Roman" w:cs="Times New Roman"/>
        </w:rPr>
        <w:t xml:space="preserve">(rather than citizens of the future) – is critical to developing and sustaining intergenerational resilience in our modern democracies. </w:t>
      </w:r>
      <w:r w:rsidR="00356D46" w:rsidRPr="006F3A5D">
        <w:rPr>
          <w:rFonts w:ascii="Times New Roman" w:hAnsi="Times New Roman" w:cs="Times New Roman"/>
        </w:rPr>
        <w:t>Intergenerational resilience refers to the ability of communities to maintain and adapt their well-being and cultural continuity across generations in the face of challenges and adversity</w:t>
      </w:r>
      <w:r w:rsidR="00007564" w:rsidRPr="006F3A5D">
        <w:rPr>
          <w:rFonts w:ascii="Times New Roman" w:hAnsi="Times New Roman" w:cs="Times New Roman"/>
        </w:rPr>
        <w:t xml:space="preserve"> (see e.g. Hall et al 2023, Williams 2022)</w:t>
      </w:r>
      <w:r w:rsidR="00356D46" w:rsidRPr="006F3A5D">
        <w:rPr>
          <w:rFonts w:ascii="Times New Roman" w:hAnsi="Times New Roman" w:cs="Times New Roman"/>
        </w:rPr>
        <w:t xml:space="preserve">. </w:t>
      </w:r>
      <w:r w:rsidR="009D7086" w:rsidRPr="006F3A5D">
        <w:rPr>
          <w:rFonts w:ascii="Times New Roman" w:hAnsi="Times New Roman" w:cs="Times New Roman"/>
        </w:rPr>
        <w:t xml:space="preserve">Intergenerational resilience can be fostered through supportive family relationships, cultural practices, and community networks that enable younger generations to build on the strengths and experiences of their predecessors (Ungar, 2013). </w:t>
      </w:r>
      <w:r w:rsidR="00B2171D">
        <w:rPr>
          <w:rFonts w:ascii="Times New Roman" w:hAnsi="Times New Roman" w:cs="Times New Roman"/>
        </w:rPr>
        <w:t xml:space="preserve">This type of resilience is also supported by deliberative decision-making within and between communities and a participatory approach to </w:t>
      </w:r>
      <w:r w:rsidR="009D7086" w:rsidRPr="006F3A5D">
        <w:rPr>
          <w:rFonts w:ascii="Times New Roman" w:hAnsi="Times New Roman" w:cs="Times New Roman"/>
        </w:rPr>
        <w:t>resource allocation,</w:t>
      </w:r>
      <w:r w:rsidR="00B2171D">
        <w:rPr>
          <w:rFonts w:ascii="Times New Roman" w:hAnsi="Times New Roman" w:cs="Times New Roman"/>
        </w:rPr>
        <w:t xml:space="preserve"> that recognises the value and needs of </w:t>
      </w:r>
      <w:r w:rsidR="00694D08">
        <w:rPr>
          <w:rFonts w:ascii="Times New Roman" w:hAnsi="Times New Roman" w:cs="Times New Roman"/>
        </w:rPr>
        <w:t xml:space="preserve">different </w:t>
      </w:r>
      <w:r w:rsidR="009D7086" w:rsidRPr="006F3A5D">
        <w:rPr>
          <w:rFonts w:ascii="Times New Roman" w:hAnsi="Times New Roman" w:cs="Times New Roman"/>
        </w:rPr>
        <w:t>generations (</w:t>
      </w:r>
      <w:proofErr w:type="spellStart"/>
      <w:r w:rsidR="009D7086" w:rsidRPr="006F3A5D">
        <w:rPr>
          <w:rFonts w:ascii="Times New Roman" w:hAnsi="Times New Roman" w:cs="Times New Roman"/>
        </w:rPr>
        <w:t>Kirmayer</w:t>
      </w:r>
      <w:proofErr w:type="spellEnd"/>
      <w:r w:rsidR="009D7086" w:rsidRPr="006F3A5D">
        <w:rPr>
          <w:rFonts w:ascii="Times New Roman" w:hAnsi="Times New Roman" w:cs="Times New Roman"/>
        </w:rPr>
        <w:t xml:space="preserve"> et al., 2009). </w:t>
      </w:r>
      <w:r w:rsidR="00E91130">
        <w:rPr>
          <w:rFonts w:ascii="Times New Roman" w:hAnsi="Times New Roman" w:cs="Times New Roman"/>
        </w:rPr>
        <w:t xml:space="preserve">In the context of democratic participation, intergenerational resilience </w:t>
      </w:r>
      <w:r w:rsidR="00E6049F">
        <w:rPr>
          <w:rFonts w:ascii="Times New Roman" w:hAnsi="Times New Roman" w:cs="Times New Roman"/>
        </w:rPr>
        <w:t xml:space="preserve">demands the establishment and maintenance of systems that promote </w:t>
      </w:r>
      <w:r w:rsidR="00356D46" w:rsidRPr="006F3A5D">
        <w:rPr>
          <w:rFonts w:ascii="Times New Roman" w:hAnsi="Times New Roman" w:cs="Times New Roman"/>
        </w:rPr>
        <w:t>transfer of knowledge, values, and coping strategies between generations</w:t>
      </w:r>
      <w:r w:rsidR="005016E0" w:rsidRPr="006F3A5D">
        <w:rPr>
          <w:rFonts w:ascii="Times New Roman" w:hAnsi="Times New Roman" w:cs="Times New Roman"/>
        </w:rPr>
        <w:t>.</w:t>
      </w:r>
      <w:r w:rsidR="00E6049F">
        <w:rPr>
          <w:rFonts w:ascii="Times New Roman" w:hAnsi="Times New Roman" w:cs="Times New Roman"/>
        </w:rPr>
        <w:t xml:space="preserve"> I argue that intergenerational resilience also </w:t>
      </w:r>
      <w:r w:rsidR="00615D70">
        <w:rPr>
          <w:rFonts w:ascii="Times New Roman" w:hAnsi="Times New Roman" w:cs="Times New Roman"/>
        </w:rPr>
        <w:t xml:space="preserve">requires the transfer of </w:t>
      </w:r>
      <w:r w:rsidR="00615D70">
        <w:rPr>
          <w:rFonts w:ascii="Times New Roman" w:hAnsi="Times New Roman" w:cs="Times New Roman"/>
          <w:i/>
          <w:iCs/>
        </w:rPr>
        <w:t xml:space="preserve">political and economic power </w:t>
      </w:r>
      <w:r w:rsidR="00615D70">
        <w:rPr>
          <w:rFonts w:ascii="Times New Roman" w:hAnsi="Times New Roman" w:cs="Times New Roman"/>
        </w:rPr>
        <w:t xml:space="preserve">between generations, </w:t>
      </w:r>
      <w:r w:rsidR="00394096">
        <w:rPr>
          <w:rFonts w:ascii="Times New Roman" w:hAnsi="Times New Roman" w:cs="Times New Roman"/>
        </w:rPr>
        <w:t>to</w:t>
      </w:r>
      <w:r w:rsidR="00615D70">
        <w:rPr>
          <w:rFonts w:ascii="Times New Roman" w:hAnsi="Times New Roman" w:cs="Times New Roman"/>
        </w:rPr>
        <w:t xml:space="preserve"> ensure younger generations are equipped with the resources they need to continue to promote the democratic values, and protect the democratic institutions, that are shared between generations. </w:t>
      </w:r>
      <w:r w:rsidR="005016E0" w:rsidRPr="006F3A5D">
        <w:rPr>
          <w:rFonts w:ascii="Times New Roman" w:hAnsi="Times New Roman" w:cs="Times New Roman"/>
        </w:rPr>
        <w:t xml:space="preserve"> </w:t>
      </w:r>
      <w:r w:rsidR="001D7A1F">
        <w:rPr>
          <w:rFonts w:ascii="Times New Roman" w:hAnsi="Times New Roman" w:cs="Times New Roman"/>
        </w:rPr>
        <w:t xml:space="preserve">This is reflected in the following </w:t>
      </w:r>
      <w:r w:rsidR="00B70319">
        <w:rPr>
          <w:rFonts w:ascii="Times New Roman" w:hAnsi="Times New Roman" w:cs="Times New Roman"/>
        </w:rPr>
        <w:t xml:space="preserve">description of democratic resilience developed by </w:t>
      </w:r>
      <w:proofErr w:type="spellStart"/>
      <w:r w:rsidR="00B70319">
        <w:rPr>
          <w:rFonts w:ascii="Times New Roman" w:hAnsi="Times New Roman" w:cs="Times New Roman"/>
        </w:rPr>
        <w:t>Selen</w:t>
      </w:r>
      <w:proofErr w:type="spellEnd"/>
      <w:r w:rsidR="00B70319">
        <w:rPr>
          <w:rFonts w:ascii="Times New Roman" w:hAnsi="Times New Roman" w:cs="Times New Roman"/>
        </w:rPr>
        <w:t xml:space="preserve"> et al (2022):</w:t>
      </w:r>
    </w:p>
    <w:p w14:paraId="1464BD44" w14:textId="77BD88D4" w:rsidR="00926C49" w:rsidRDefault="00926C49" w:rsidP="002D0CB1">
      <w:pPr>
        <w:pStyle w:val="Quote"/>
        <w:spacing w:after="120"/>
      </w:pPr>
      <w:r>
        <w:t xml:space="preserve">The most defining characteristic of a democratically resilient public sphere is its capacity to sustain integrative and tolerant public discourse when subjected to external shocks, such as violent extremist threats and acts. Resilient public spheres can contain and process provocations in a fashion that maintains or even strengthens democratic integrity. By contrast, fragile public spheres descend into </w:t>
      </w:r>
      <w:r>
        <w:lastRenderedPageBreak/>
        <w:t xml:space="preserve">polarization, fragmentation and lose their capacity for the inclusive and cross-cultural deliberation on which a functioning democracy depends. </w:t>
      </w:r>
    </w:p>
    <w:p w14:paraId="48C9291D" w14:textId="6FE09E30" w:rsidR="00D55EB9" w:rsidRPr="006F3A5D" w:rsidRDefault="00D55EB9" w:rsidP="002D0CB1">
      <w:pPr>
        <w:spacing w:after="120" w:line="240" w:lineRule="auto"/>
        <w:jc w:val="both"/>
        <w:rPr>
          <w:rFonts w:ascii="Times New Roman" w:hAnsi="Times New Roman" w:cs="Times New Roman"/>
        </w:rPr>
      </w:pPr>
      <w:r w:rsidRPr="006F3A5D">
        <w:rPr>
          <w:rFonts w:ascii="Times New Roman" w:hAnsi="Times New Roman" w:cs="Times New Roman"/>
        </w:rPr>
        <w:t>In this Pape</w:t>
      </w:r>
      <w:r w:rsidR="00F567FB" w:rsidRPr="006F3A5D">
        <w:rPr>
          <w:rFonts w:ascii="Times New Roman" w:hAnsi="Times New Roman" w:cs="Times New Roman"/>
        </w:rPr>
        <w:t>r</w:t>
      </w:r>
      <w:r w:rsidRPr="006F3A5D">
        <w:rPr>
          <w:rFonts w:ascii="Times New Roman" w:hAnsi="Times New Roman" w:cs="Times New Roman"/>
        </w:rPr>
        <w:t xml:space="preserve"> I aim to identify the guiding principles, key objectives, catalysts for change needed to improve </w:t>
      </w:r>
      <w:r w:rsidR="00F567FB" w:rsidRPr="006F3A5D">
        <w:rPr>
          <w:rFonts w:ascii="Times New Roman" w:hAnsi="Times New Roman" w:cs="Times New Roman"/>
        </w:rPr>
        <w:t xml:space="preserve">intergenerational resilience in modern democracies like Australia, with a focus on </w:t>
      </w:r>
      <w:r w:rsidR="006C796F" w:rsidRPr="006F3A5D">
        <w:rPr>
          <w:rFonts w:ascii="Times New Roman" w:hAnsi="Times New Roman" w:cs="Times New Roman"/>
        </w:rPr>
        <w:t xml:space="preserve">strategies that seek to improve the quality of </w:t>
      </w:r>
      <w:r w:rsidR="003C6734" w:rsidRPr="006F3A5D">
        <w:rPr>
          <w:rFonts w:ascii="Times New Roman" w:hAnsi="Times New Roman" w:cs="Times New Roman"/>
        </w:rPr>
        <w:t>democratic</w:t>
      </w:r>
      <w:r w:rsidRPr="006F3A5D">
        <w:rPr>
          <w:rFonts w:ascii="Times New Roman" w:hAnsi="Times New Roman" w:cs="Times New Roman"/>
        </w:rPr>
        <w:t xml:space="preserve"> engagement </w:t>
      </w:r>
      <w:r w:rsidR="003C6734" w:rsidRPr="006F3A5D">
        <w:rPr>
          <w:rFonts w:ascii="Times New Roman" w:hAnsi="Times New Roman" w:cs="Times New Roman"/>
        </w:rPr>
        <w:t>by young people</w:t>
      </w:r>
      <w:r w:rsidRPr="006F3A5D">
        <w:rPr>
          <w:rFonts w:ascii="Times New Roman" w:hAnsi="Times New Roman" w:cs="Times New Roman"/>
        </w:rPr>
        <w:t xml:space="preserve">.  I also share perspectives gained from </w:t>
      </w:r>
      <w:r w:rsidR="00C9487B" w:rsidRPr="006F3A5D">
        <w:rPr>
          <w:rFonts w:ascii="Times New Roman" w:hAnsi="Times New Roman" w:cs="Times New Roman"/>
        </w:rPr>
        <w:t>my 2023 Churchill Fellowship that took me to</w:t>
      </w:r>
      <w:r w:rsidRPr="006F3A5D">
        <w:rPr>
          <w:rFonts w:ascii="Times New Roman" w:hAnsi="Times New Roman" w:cs="Times New Roman"/>
        </w:rPr>
        <w:t xml:space="preserve"> England, Scotland, Northern Ireland, Republic of Ireland and Wales, highlighting some key case studies as well as attempting to link some of the ideas I have encountered with the relevant scholarship and literature in this field.  The </w:t>
      </w:r>
      <w:r w:rsidR="00C9487B" w:rsidRPr="006F3A5D">
        <w:rPr>
          <w:rFonts w:ascii="Times New Roman" w:hAnsi="Times New Roman" w:cs="Times New Roman"/>
        </w:rPr>
        <w:t xml:space="preserve">Paper </w:t>
      </w:r>
      <w:r w:rsidRPr="006F3A5D">
        <w:rPr>
          <w:rFonts w:ascii="Times New Roman" w:hAnsi="Times New Roman" w:cs="Times New Roman"/>
        </w:rPr>
        <w:t xml:space="preserve">concludes with a call to action and toolkit for those working within parliamentary settings to use, and contribute to, as we work together to reimagine youth engagement with </w:t>
      </w:r>
      <w:r w:rsidR="003C6734" w:rsidRPr="006F3A5D">
        <w:rPr>
          <w:rFonts w:ascii="Times New Roman" w:hAnsi="Times New Roman" w:cs="Times New Roman"/>
        </w:rPr>
        <w:t xml:space="preserve">modern parliaments and bolster the foundations for securing intergenerational resilience in </w:t>
      </w:r>
      <w:r w:rsidR="00F30F72" w:rsidRPr="006F3A5D">
        <w:rPr>
          <w:rFonts w:ascii="Times New Roman" w:hAnsi="Times New Roman" w:cs="Times New Roman"/>
        </w:rPr>
        <w:t>our societies.</w:t>
      </w:r>
    </w:p>
    <w:p w14:paraId="72472D97" w14:textId="75F6A234" w:rsidR="006D6756" w:rsidRDefault="006D6756" w:rsidP="002376DE">
      <w:pPr>
        <w:pStyle w:val="Heading3"/>
      </w:pPr>
      <w:r w:rsidRPr="006F3A5D">
        <w:t>What’s at stake?</w:t>
      </w:r>
    </w:p>
    <w:p w14:paraId="1F73FC21" w14:textId="0F925087" w:rsidR="00E34B1E" w:rsidRDefault="00E34B1E" w:rsidP="002D0CB1">
      <w:pPr>
        <w:spacing w:after="120" w:line="240" w:lineRule="auto"/>
        <w:jc w:val="both"/>
        <w:rPr>
          <w:rFonts w:ascii="Times New Roman" w:hAnsi="Times New Roman" w:cs="Times New Roman"/>
        </w:rPr>
      </w:pPr>
      <w:r w:rsidRPr="00F34520">
        <w:rPr>
          <w:rFonts w:ascii="Times New Roman" w:hAnsi="Times New Roman" w:cs="Times New Roman"/>
        </w:rPr>
        <w:t xml:space="preserve">Modern democracies like Australia and New Zealand </w:t>
      </w:r>
      <w:proofErr w:type="gramStart"/>
      <w:r w:rsidRPr="00F34520">
        <w:rPr>
          <w:rFonts w:ascii="Times New Roman" w:hAnsi="Times New Roman" w:cs="Times New Roman"/>
        </w:rPr>
        <w:t>are well aware that</w:t>
      </w:r>
      <w:proofErr w:type="gramEnd"/>
      <w:r w:rsidRPr="00F34520">
        <w:rPr>
          <w:rFonts w:ascii="Times New Roman" w:hAnsi="Times New Roman" w:cs="Times New Roman"/>
        </w:rPr>
        <w:t xml:space="preserve"> they are facing a ‘perfect storm’ of challenges that seek to unsettle, </w:t>
      </w:r>
      <w:r w:rsidR="006177F7" w:rsidRPr="00F34520">
        <w:rPr>
          <w:rFonts w:ascii="Times New Roman" w:hAnsi="Times New Roman" w:cs="Times New Roman"/>
        </w:rPr>
        <w:t xml:space="preserve">disrupt and even displace the democratic norms and institutions that past generations have taken for granted.  </w:t>
      </w:r>
      <w:r w:rsidR="00F34520" w:rsidRPr="00F34520">
        <w:rPr>
          <w:rFonts w:ascii="Times New Roman" w:hAnsi="Times New Roman" w:cs="Times New Roman"/>
        </w:rPr>
        <w:t>This is eviden</w:t>
      </w:r>
      <w:r w:rsidR="00A96121">
        <w:rPr>
          <w:rFonts w:ascii="Times New Roman" w:hAnsi="Times New Roman" w:cs="Times New Roman"/>
        </w:rPr>
        <w:t>t</w:t>
      </w:r>
      <w:r w:rsidR="00F34520" w:rsidRPr="00F34520">
        <w:rPr>
          <w:rFonts w:ascii="Times New Roman" w:hAnsi="Times New Roman" w:cs="Times New Roman"/>
        </w:rPr>
        <w:t xml:space="preserve"> in the recent policy document published by the Australian Government’s Department of Home </w:t>
      </w:r>
      <w:proofErr w:type="gramStart"/>
      <w:r w:rsidR="00F34520" w:rsidRPr="00F34520">
        <w:rPr>
          <w:rFonts w:ascii="Times New Roman" w:hAnsi="Times New Roman" w:cs="Times New Roman"/>
        </w:rPr>
        <w:t>Affairs</w:t>
      </w:r>
      <w:r w:rsidR="00736BDA">
        <w:rPr>
          <w:rFonts w:ascii="Times New Roman" w:hAnsi="Times New Roman" w:cs="Times New Roman"/>
        </w:rPr>
        <w:t>’</w:t>
      </w:r>
      <w:proofErr w:type="gramEnd"/>
      <w:r w:rsidR="00F34520" w:rsidRPr="00F34520">
        <w:rPr>
          <w:rFonts w:ascii="Times New Roman" w:hAnsi="Times New Roman" w:cs="Times New Roman"/>
        </w:rPr>
        <w:t xml:space="preserve"> </w:t>
      </w:r>
      <w:r w:rsidR="00276600">
        <w:rPr>
          <w:rFonts w:ascii="Times New Roman" w:hAnsi="Times New Roman" w:cs="Times New Roman"/>
        </w:rPr>
        <w:t>entitled ‘Strengthening Australian Democracy’</w:t>
      </w:r>
      <w:r w:rsidR="0008632B">
        <w:rPr>
          <w:rFonts w:ascii="Times New Roman" w:hAnsi="Times New Roman" w:cs="Times New Roman"/>
        </w:rPr>
        <w:t xml:space="preserve"> (2024)</w:t>
      </w:r>
      <w:r w:rsidR="00276600">
        <w:rPr>
          <w:rFonts w:ascii="Times New Roman" w:hAnsi="Times New Roman" w:cs="Times New Roman"/>
        </w:rPr>
        <w:t xml:space="preserve"> </w:t>
      </w:r>
      <w:r w:rsidR="00A96121">
        <w:rPr>
          <w:rFonts w:ascii="Times New Roman" w:hAnsi="Times New Roman" w:cs="Times New Roman"/>
        </w:rPr>
        <w:t>which observes</w:t>
      </w:r>
      <w:r w:rsidR="0008632B">
        <w:rPr>
          <w:rFonts w:ascii="Times New Roman" w:hAnsi="Times New Roman" w:cs="Times New Roman"/>
        </w:rPr>
        <w:t xml:space="preserve"> (at p. 3)</w:t>
      </w:r>
      <w:r w:rsidR="00276600">
        <w:rPr>
          <w:rFonts w:ascii="Times New Roman" w:hAnsi="Times New Roman" w:cs="Times New Roman"/>
        </w:rPr>
        <w:t>:</w:t>
      </w:r>
    </w:p>
    <w:p w14:paraId="0E941FFF" w14:textId="5DB0EE0C" w:rsidR="002D5BA1" w:rsidRDefault="0008632B" w:rsidP="002D0CB1">
      <w:pPr>
        <w:pStyle w:val="Quote"/>
        <w:spacing w:after="120"/>
      </w:pPr>
      <w:r>
        <w:t xml:space="preserve">Democracies around the world are struggling with a range of shared problems. Australia is not immune. Global trends are tangling with more </w:t>
      </w:r>
      <w:proofErr w:type="spellStart"/>
      <w:r>
        <w:t>localised</w:t>
      </w:r>
      <w:proofErr w:type="spellEnd"/>
      <w:r>
        <w:t xml:space="preserve"> issues to challenge the foundations of Australia’s democratic strengths: trusted institutions, credible </w:t>
      </w:r>
      <w:proofErr w:type="gramStart"/>
      <w:r>
        <w:t>information</w:t>
      </w:r>
      <w:proofErr w:type="gramEnd"/>
      <w:r>
        <w:t xml:space="preserve"> and social inclusion. While none of these challenges is wholly new, in combination they pose complex and compounding threats to democracy</w:t>
      </w:r>
      <w:r w:rsidR="00291D16">
        <w:t>.</w:t>
      </w:r>
    </w:p>
    <w:p w14:paraId="689B01C1" w14:textId="06A0129C" w:rsidR="00C8738F" w:rsidRDefault="009F6785" w:rsidP="001F0155">
      <w:pPr>
        <w:spacing w:after="120" w:line="240" w:lineRule="auto"/>
        <w:jc w:val="both"/>
        <w:rPr>
          <w:rFonts w:ascii="Times New Roman" w:hAnsi="Times New Roman" w:cs="Times New Roman"/>
          <w:lang w:val="en-US"/>
        </w:rPr>
      </w:pPr>
      <w:r w:rsidRPr="00F34520">
        <w:rPr>
          <w:rFonts w:ascii="Times New Roman" w:hAnsi="Times New Roman" w:cs="Times New Roman"/>
        </w:rPr>
        <w:t xml:space="preserve">Declining trust in democratic institutions like parliaments, for example, is having an impact on our </w:t>
      </w:r>
      <w:proofErr w:type="gramStart"/>
      <w:r w:rsidRPr="00F34520">
        <w:rPr>
          <w:rFonts w:ascii="Times New Roman" w:hAnsi="Times New Roman" w:cs="Times New Roman"/>
        </w:rPr>
        <w:t>short, medium and long term</w:t>
      </w:r>
      <w:proofErr w:type="gramEnd"/>
      <w:r w:rsidRPr="00F34520">
        <w:rPr>
          <w:rFonts w:ascii="Times New Roman" w:hAnsi="Times New Roman" w:cs="Times New Roman"/>
        </w:rPr>
        <w:t xml:space="preserve"> approaches to economic and social policy, and has also featured in national security debates in Australia.  </w:t>
      </w:r>
      <w:r>
        <w:rPr>
          <w:rFonts w:ascii="Times New Roman" w:hAnsi="Times New Roman" w:cs="Times New Roman"/>
        </w:rPr>
        <w:t xml:space="preserve">This is reflected in the decision to raise Australia’s National Terrorism Threat Level to ‘probable’ in August 2024.  The Australian Government’s National Security website </w:t>
      </w:r>
      <w:r w:rsidR="00DE0981">
        <w:rPr>
          <w:rFonts w:ascii="Times New Roman" w:hAnsi="Times New Roman" w:cs="Times New Roman"/>
        </w:rPr>
        <w:t>(&lt;</w:t>
      </w:r>
      <w:r w:rsidR="00DE0981" w:rsidRPr="00DE0981">
        <w:rPr>
          <w:rFonts w:ascii="Times New Roman" w:hAnsi="Times New Roman" w:cs="Times New Roman"/>
        </w:rPr>
        <w:t>https://www.nationalsecurity.gov.au/national-threat-level/current-national-terrorism-threat-level</w:t>
      </w:r>
      <w:r w:rsidR="00DE0981">
        <w:rPr>
          <w:rFonts w:ascii="Times New Roman" w:hAnsi="Times New Roman" w:cs="Times New Roman"/>
        </w:rPr>
        <w:t xml:space="preserve">&gt;) </w:t>
      </w:r>
      <w:r>
        <w:rPr>
          <w:rFonts w:ascii="Times New Roman" w:hAnsi="Times New Roman" w:cs="Times New Roman"/>
        </w:rPr>
        <w:t>explains that:</w:t>
      </w:r>
    </w:p>
    <w:p w14:paraId="19A98DA2" w14:textId="77777777" w:rsidR="00823A6C" w:rsidRDefault="0049527E" w:rsidP="002D0CB1">
      <w:pPr>
        <w:pStyle w:val="Quote"/>
        <w:spacing w:after="120"/>
      </w:pPr>
      <w:r>
        <w:t xml:space="preserve">Australia’s security landscape has entered a vulnerable period and is being challenged by new threats with concerning trajectories. Our landscape </w:t>
      </w:r>
      <w:proofErr w:type="gramStart"/>
      <w:r>
        <w:t>is a reflection of</w:t>
      </w:r>
      <w:proofErr w:type="gramEnd"/>
      <w:r>
        <w:t xml:space="preserve"> the social and political environment in which we live – social cohesion is lower, and trust in governments and democratic processes globally are eroding.</w:t>
      </w:r>
      <w:r w:rsidR="00823A6C">
        <w:t xml:space="preserve"> </w:t>
      </w:r>
    </w:p>
    <w:p w14:paraId="12AF4D8A" w14:textId="2E991387" w:rsidR="009F6785" w:rsidRPr="009F6785" w:rsidRDefault="00823A6C" w:rsidP="002D0CB1">
      <w:pPr>
        <w:pStyle w:val="Quote"/>
        <w:spacing w:after="120"/>
      </w:pPr>
      <w:r>
        <w:t xml:space="preserve"> …</w:t>
      </w:r>
    </w:p>
    <w:p w14:paraId="661935AD" w14:textId="77777777" w:rsidR="00823A6C" w:rsidRDefault="0049527E" w:rsidP="002D0CB1">
      <w:pPr>
        <w:pStyle w:val="Quote"/>
        <w:spacing w:after="120"/>
      </w:pPr>
      <w:r>
        <w:t xml:space="preserve">The rise of individual grievance narratives and how they are expressed, are impacting society’s ability to find common ground. Increasingly it is leading to a </w:t>
      </w:r>
      <w:proofErr w:type="spellStart"/>
      <w:r>
        <w:t>normalisation</w:t>
      </w:r>
      <w:proofErr w:type="spellEnd"/>
      <w:r>
        <w:t xml:space="preserve"> of provocative and inflammatory </w:t>
      </w:r>
      <w:proofErr w:type="spellStart"/>
      <w:r>
        <w:t>behaviours</w:t>
      </w:r>
      <w:proofErr w:type="spellEnd"/>
      <w:r>
        <w:t xml:space="preserve"> contrary to community standards and liberal democratic values. Global events such as the conflict in the </w:t>
      </w:r>
      <w:proofErr w:type="gramStart"/>
      <w:r>
        <w:t>Middle-East</w:t>
      </w:r>
      <w:proofErr w:type="gramEnd"/>
      <w:r>
        <w:t>, have resonated in Australia and will continue to do so.</w:t>
      </w:r>
      <w:r w:rsidR="00823A6C">
        <w:t xml:space="preserve"> </w:t>
      </w:r>
    </w:p>
    <w:p w14:paraId="236DB547" w14:textId="047A6249" w:rsidR="00823A6C" w:rsidRDefault="00823A6C" w:rsidP="002D0CB1">
      <w:pPr>
        <w:pStyle w:val="Quote"/>
        <w:spacing w:after="120"/>
      </w:pPr>
      <w:r>
        <w:t>…</w:t>
      </w:r>
    </w:p>
    <w:p w14:paraId="3C9A3F47" w14:textId="77777777" w:rsidR="00823A6C" w:rsidRDefault="0049527E" w:rsidP="002D0CB1">
      <w:pPr>
        <w:pStyle w:val="Quote"/>
        <w:spacing w:after="120"/>
      </w:pPr>
      <w:r>
        <w:t xml:space="preserve">Social media is a key driver of volatility, acting as a gateway and platform for violent ideologies and global influences to promulgate at volume and scale. The continued adoption and proliferation </w:t>
      </w:r>
      <w:proofErr w:type="gramStart"/>
      <w:r>
        <w:t>of,</w:t>
      </w:r>
      <w:proofErr w:type="gramEnd"/>
      <w:r>
        <w:t xml:space="preserve"> social media will amplify and enable extremist narratives to find new adherents. Younger people are particularly at risk.</w:t>
      </w:r>
      <w:r w:rsidR="00823A6C">
        <w:t xml:space="preserve"> </w:t>
      </w:r>
    </w:p>
    <w:p w14:paraId="4D846123" w14:textId="7FA01D8A" w:rsidR="00823A6C" w:rsidRPr="00823A6C" w:rsidRDefault="00823A6C" w:rsidP="002D0CB1">
      <w:pPr>
        <w:pStyle w:val="Quote"/>
        <w:spacing w:after="120"/>
      </w:pPr>
      <w:r>
        <w:t xml:space="preserve"> …</w:t>
      </w:r>
    </w:p>
    <w:p w14:paraId="7C09CFD5" w14:textId="77777777" w:rsidR="0049527E" w:rsidRDefault="0049527E" w:rsidP="002D0CB1">
      <w:pPr>
        <w:pStyle w:val="Quote"/>
        <w:spacing w:after="120"/>
      </w:pPr>
      <w:r>
        <w:t>The compounding effects of these issues has resulted in a volatile domestic security environment. This environment has the potential for an increase in acts of politically motivated violence, including terrorism, to occur across all ideological spectrums.</w:t>
      </w:r>
    </w:p>
    <w:p w14:paraId="727F419A" w14:textId="136BDFDE" w:rsidR="00873610" w:rsidRPr="002E7B68" w:rsidRDefault="009609E6" w:rsidP="002D0CB1">
      <w:pPr>
        <w:spacing w:after="120" w:line="240" w:lineRule="auto"/>
        <w:rPr>
          <w:rFonts w:ascii="Times New Roman" w:hAnsi="Times New Roman" w:cs="Times New Roman"/>
          <w:lang w:val="en-US"/>
        </w:rPr>
      </w:pPr>
      <w:r>
        <w:rPr>
          <w:rFonts w:ascii="Times New Roman" w:hAnsi="Times New Roman" w:cs="Times New Roman"/>
          <w:lang w:val="en-US"/>
        </w:rPr>
        <w:lastRenderedPageBreak/>
        <w:t>Australians are also beginning to turn away from the ballot box</w:t>
      </w:r>
      <w:r w:rsidR="002E7B68">
        <w:rPr>
          <w:rFonts w:ascii="Times New Roman" w:hAnsi="Times New Roman" w:cs="Times New Roman"/>
          <w:lang w:val="en-US"/>
        </w:rPr>
        <w:t xml:space="preserve">, </w:t>
      </w:r>
      <w:r w:rsidR="0015752C">
        <w:rPr>
          <w:rFonts w:ascii="Times New Roman" w:hAnsi="Times New Roman" w:cs="Times New Roman"/>
          <w:lang w:val="en-US"/>
        </w:rPr>
        <w:t>particularly those from lower socio-economic backgrounds, and from younger generations</w:t>
      </w:r>
      <w:r>
        <w:rPr>
          <w:rFonts w:ascii="Times New Roman" w:hAnsi="Times New Roman" w:cs="Times New Roman"/>
          <w:lang w:val="en-US"/>
        </w:rPr>
        <w:t xml:space="preserve">.  As Hill et al explained in their 2024 submission to the Australian Parliament’s Joint Standing </w:t>
      </w:r>
      <w:r w:rsidR="002E7B68">
        <w:rPr>
          <w:rFonts w:ascii="Times New Roman" w:hAnsi="Times New Roman" w:cs="Times New Roman"/>
          <w:lang w:val="en-US"/>
        </w:rPr>
        <w:t xml:space="preserve">Committee on Electoral Matters: </w:t>
      </w:r>
    </w:p>
    <w:p w14:paraId="450FF41E" w14:textId="2FD30B31" w:rsidR="00873610" w:rsidRPr="002D0CB1" w:rsidRDefault="00873610" w:rsidP="002D0CB1">
      <w:pPr>
        <w:pStyle w:val="Quote"/>
        <w:spacing w:after="120"/>
      </w:pPr>
      <w:r w:rsidRPr="002D0CB1">
        <w:t>The 2022 Federal election saw turnout dip to its lowest level since the first</w:t>
      </w:r>
      <w:r w:rsidR="002E7B68" w:rsidRPr="002D0CB1">
        <w:t xml:space="preserve"> </w:t>
      </w:r>
      <w:r w:rsidRPr="002D0CB1">
        <w:t>election conducted under compulsory voting in 1925 (89.9% for the House of Representatives</w:t>
      </w:r>
      <w:r w:rsidR="002E7B68" w:rsidRPr="002D0CB1">
        <w:t xml:space="preserve"> </w:t>
      </w:r>
      <w:r w:rsidRPr="002D0CB1">
        <w:t>(AEC, 2022). Of particular concern is the escalating electoral disengagement of citizens from</w:t>
      </w:r>
      <w:r w:rsidR="002E7B68" w:rsidRPr="002D0CB1">
        <w:t xml:space="preserve"> </w:t>
      </w:r>
      <w:r w:rsidRPr="002D0CB1">
        <w:t>low SES and disadvantaged socio-demographic backgrounds as well as First Nations peoples</w:t>
      </w:r>
      <w:r w:rsidR="002E7B68" w:rsidRPr="002D0CB1">
        <w:t xml:space="preserve"> </w:t>
      </w:r>
      <w:r w:rsidRPr="002D0CB1">
        <w:t>(AEC, 2017, p. 13). Equally concerning is the electoral withdrawal of the young who are, after</w:t>
      </w:r>
      <w:r w:rsidR="002E7B68" w:rsidRPr="002D0CB1">
        <w:t xml:space="preserve"> </w:t>
      </w:r>
      <w:r w:rsidRPr="002D0CB1">
        <w:t>all, the future of our democracy. In March 2024 only 87% of 18–24-year-olds were enrolled to</w:t>
      </w:r>
      <w:r w:rsidR="0015752C" w:rsidRPr="002D0CB1">
        <w:t xml:space="preserve"> </w:t>
      </w:r>
      <w:r w:rsidRPr="002D0CB1">
        <w:t>vote compared with 98.2% of all-age Australians (AEC, 2024). Actual voting participation</w:t>
      </w:r>
      <w:r w:rsidR="0015752C" w:rsidRPr="002D0CB1">
        <w:t xml:space="preserve"> </w:t>
      </w:r>
      <w:r w:rsidRPr="002D0CB1">
        <w:t>among the young is even lower: in Australia, even with compulsory voting in place, from 2001</w:t>
      </w:r>
      <w:r w:rsidR="0015752C" w:rsidRPr="002D0CB1">
        <w:t xml:space="preserve"> </w:t>
      </w:r>
      <w:r w:rsidRPr="002D0CB1">
        <w:t>to 2016 youth turnout declined from 90% to around 78% of eligible voters (AEC 2017). More</w:t>
      </w:r>
      <w:r w:rsidR="0015752C" w:rsidRPr="002D0CB1">
        <w:t xml:space="preserve"> </w:t>
      </w:r>
      <w:r w:rsidRPr="002D0CB1">
        <w:t>recent figures for federal elections are unavailable but figures for recent state elections are</w:t>
      </w:r>
      <w:r w:rsidR="0015752C" w:rsidRPr="002D0CB1">
        <w:t xml:space="preserve"> </w:t>
      </w:r>
      <w:r w:rsidRPr="002D0CB1">
        <w:t xml:space="preserve">telling. For example, in Queensland the turnout rate for </w:t>
      </w:r>
      <w:proofErr w:type="gramStart"/>
      <w:r w:rsidRPr="002D0CB1">
        <w:t>18-29 year-olds</w:t>
      </w:r>
      <w:proofErr w:type="gramEnd"/>
      <w:r w:rsidRPr="002D0CB1">
        <w:t xml:space="preserve"> at the last state election</w:t>
      </w:r>
      <w:r w:rsidR="0015752C" w:rsidRPr="002D0CB1">
        <w:t xml:space="preserve"> </w:t>
      </w:r>
      <w:r w:rsidRPr="002D0CB1">
        <w:t>was 81% (ECQ, 2021)4. For Victoria, at the 2022 state election, despite a relatively high</w:t>
      </w:r>
      <w:r w:rsidR="0015752C" w:rsidRPr="002D0CB1">
        <w:t xml:space="preserve"> </w:t>
      </w:r>
      <w:r w:rsidRPr="002D0CB1">
        <w:t>enrolment rate for 18–24-year-olds (91.6%), turnout was only 73.12% for those without</w:t>
      </w:r>
      <w:r w:rsidR="0015752C" w:rsidRPr="002D0CB1">
        <w:t xml:space="preserve"> </w:t>
      </w:r>
      <w:proofErr w:type="spellStart"/>
      <w:r w:rsidRPr="002D0CB1">
        <w:t>VoterAlert</w:t>
      </w:r>
      <w:proofErr w:type="spellEnd"/>
      <w:r w:rsidRPr="002D0CB1">
        <w:t xml:space="preserve"> and 86.5% for those with </w:t>
      </w:r>
      <w:proofErr w:type="spellStart"/>
      <w:r w:rsidRPr="002D0CB1">
        <w:t>VoterAlert</w:t>
      </w:r>
      <w:proofErr w:type="spellEnd"/>
      <w:r w:rsidRPr="002D0CB1">
        <w:t xml:space="preserve"> (VEC, 2022)</w:t>
      </w:r>
      <w:r w:rsidR="0015752C" w:rsidRPr="002D0CB1">
        <w:t>.</w:t>
      </w:r>
    </w:p>
    <w:p w14:paraId="04A8FAA2" w14:textId="0937849B" w:rsidR="00D735A4" w:rsidRPr="00A96121" w:rsidRDefault="0015752C" w:rsidP="002D0CB1">
      <w:pPr>
        <w:spacing w:after="120" w:line="240" w:lineRule="auto"/>
        <w:jc w:val="both"/>
        <w:rPr>
          <w:rFonts w:ascii="Times New Roman" w:hAnsi="Times New Roman" w:cs="Times New Roman"/>
        </w:rPr>
      </w:pPr>
      <w:r>
        <w:rPr>
          <w:rFonts w:ascii="Times New Roman" w:hAnsi="Times New Roman" w:cs="Times New Roman"/>
        </w:rPr>
        <w:t xml:space="preserve">This </w:t>
      </w:r>
      <w:r w:rsidR="004B3AE9">
        <w:rPr>
          <w:rFonts w:ascii="Times New Roman" w:hAnsi="Times New Roman" w:cs="Times New Roman"/>
        </w:rPr>
        <w:t xml:space="preserve">growing disenchantment with democratic institutions among younger Australians is also evident in the type of people who are being </w:t>
      </w:r>
      <w:r w:rsidR="004B3AE9">
        <w:rPr>
          <w:rFonts w:ascii="Times New Roman" w:hAnsi="Times New Roman" w:cs="Times New Roman"/>
          <w:i/>
          <w:iCs/>
        </w:rPr>
        <w:t xml:space="preserve">elected </w:t>
      </w:r>
      <w:r w:rsidR="004B3AE9">
        <w:rPr>
          <w:rFonts w:ascii="Times New Roman" w:hAnsi="Times New Roman" w:cs="Times New Roman"/>
        </w:rPr>
        <w:t xml:space="preserve">to parliament.  </w:t>
      </w:r>
      <w:r w:rsidR="006D6756" w:rsidRPr="006F3A5D">
        <w:rPr>
          <w:rFonts w:ascii="Times New Roman" w:hAnsi="Times New Roman" w:cs="Times New Roman"/>
        </w:rPr>
        <w:t xml:space="preserve">The average age of members of parliament in Australia is 50 (Australian Government, 2023; IPU </w:t>
      </w:r>
      <w:proofErr w:type="spellStart"/>
      <w:r w:rsidR="006D6756" w:rsidRPr="006F3A5D">
        <w:rPr>
          <w:rFonts w:ascii="Times New Roman" w:hAnsi="Times New Roman" w:cs="Times New Roman"/>
        </w:rPr>
        <w:t>Parline</w:t>
      </w:r>
      <w:proofErr w:type="spellEnd"/>
      <w:r w:rsidR="006D6756" w:rsidRPr="006F3A5D">
        <w:rPr>
          <w:rFonts w:ascii="Times New Roman" w:hAnsi="Times New Roman" w:cs="Times New Roman"/>
        </w:rPr>
        <w:t>, 2023).  Even though the 47</w:t>
      </w:r>
      <w:r w:rsidR="006D6756" w:rsidRPr="006F3A5D">
        <w:rPr>
          <w:rFonts w:ascii="Times New Roman" w:hAnsi="Times New Roman" w:cs="Times New Roman"/>
          <w:vertAlign w:val="superscript"/>
        </w:rPr>
        <w:t>th</w:t>
      </w:r>
      <w:r w:rsidR="006D6756" w:rsidRPr="006F3A5D">
        <w:rPr>
          <w:rFonts w:ascii="Times New Roman" w:hAnsi="Times New Roman" w:cs="Times New Roman"/>
        </w:rPr>
        <w:t xml:space="preserve"> Australian Parliament is the most diverse we have ever seen (</w:t>
      </w:r>
      <w:proofErr w:type="spellStart"/>
      <w:r w:rsidR="006D6756" w:rsidRPr="006F3A5D">
        <w:rPr>
          <w:rFonts w:ascii="Times New Roman" w:hAnsi="Times New Roman" w:cs="Times New Roman"/>
        </w:rPr>
        <w:t>Remeikis</w:t>
      </w:r>
      <w:proofErr w:type="spellEnd"/>
      <w:r w:rsidR="006D6756" w:rsidRPr="006F3A5D">
        <w:rPr>
          <w:rFonts w:ascii="Times New Roman" w:hAnsi="Times New Roman" w:cs="Times New Roman"/>
        </w:rPr>
        <w:t>, 2022), the people in power right now do not look like the young people I teach at university, or the young people working in our supermarkets, or surfing on our beaches.  Their priorities for change a different their hopes and dreams are different too</w:t>
      </w:r>
      <w:r w:rsidR="002C1D2B">
        <w:rPr>
          <w:rFonts w:ascii="Times New Roman" w:hAnsi="Times New Roman" w:cs="Times New Roman"/>
        </w:rPr>
        <w:t xml:space="preserve">. They are also working harder, longer and for less than older generations, and their </w:t>
      </w:r>
      <w:r w:rsidR="00CE5A0C">
        <w:rPr>
          <w:rFonts w:ascii="Times New Roman" w:hAnsi="Times New Roman" w:cs="Times New Roman"/>
        </w:rPr>
        <w:t xml:space="preserve">economic and social outlook is pessimistic.  This is reflected in </w:t>
      </w:r>
      <w:r w:rsidR="00D735A4" w:rsidRPr="00A96121">
        <w:rPr>
          <w:rFonts w:ascii="Times New Roman" w:hAnsi="Times New Roman" w:cs="Times New Roman"/>
          <w:lang w:val="en-US"/>
        </w:rPr>
        <w:t xml:space="preserve">the findings contained in </w:t>
      </w:r>
      <w:r w:rsidR="00D735A4">
        <w:rPr>
          <w:rFonts w:ascii="Times New Roman" w:hAnsi="Times New Roman" w:cs="Times New Roman"/>
          <w:lang w:val="en-US"/>
        </w:rPr>
        <w:t>the</w:t>
      </w:r>
      <w:r w:rsidR="00D735A4" w:rsidRPr="00A96121">
        <w:rPr>
          <w:rFonts w:ascii="Times New Roman" w:hAnsi="Times New Roman" w:cs="Times New Roman"/>
          <w:lang w:val="en-US"/>
        </w:rPr>
        <w:t xml:space="preserve"> </w:t>
      </w:r>
      <w:r w:rsidR="00D735A4" w:rsidRPr="00A96121">
        <w:rPr>
          <w:rFonts w:ascii="Times New Roman" w:hAnsi="Times New Roman" w:cs="Times New Roman"/>
        </w:rPr>
        <w:t>Australian Youth Barometer, a report prepared by the Monash Centre for Youth Policy and Education Practice (Walsh, Deng, Huynh, Cutler, 2024) including that:</w:t>
      </w:r>
    </w:p>
    <w:p w14:paraId="61A3CE0D" w14:textId="77777777" w:rsidR="00D735A4" w:rsidRPr="00A96121" w:rsidRDefault="00D735A4" w:rsidP="002D0CB1">
      <w:pPr>
        <w:pStyle w:val="Quote"/>
        <w:spacing w:after="120"/>
      </w:pPr>
      <w:r w:rsidRPr="00A96121">
        <w:t>86% of young Australians experienced financial difficulties to some extent in the last 12 months, with 26% reporting they did so often or very often. 62% of young Australians think they will be financially worse off than their parents. 53% of young Australians think that it is likely or very likely that they will achieve financial security in the future. 68% of young Australians turn to family members as the main source of financial support when running short of money. 31% of young people think it is likely or extremely likely that they will be able to afford a comfortable place to live in the next 12 months. 60% think it is likely or very likely they will live in a comfortable home in the future. 48% of young Australians think that it is likely or very likely that they will be able to purchase a property or house in the future. Financial security is a core concern for many young people. Not being able to work adequate hours and rising costs of living contribute to financial stress.</w:t>
      </w:r>
    </w:p>
    <w:p w14:paraId="6C49824F" w14:textId="77777777" w:rsidR="00D735A4" w:rsidRPr="00A96121" w:rsidRDefault="00D735A4" w:rsidP="002D0CB1">
      <w:pPr>
        <w:spacing w:after="120" w:line="240" w:lineRule="auto"/>
        <w:jc w:val="both"/>
        <w:rPr>
          <w:rFonts w:ascii="Times New Roman" w:hAnsi="Times New Roman" w:cs="Times New Roman"/>
        </w:rPr>
      </w:pPr>
      <w:r>
        <w:rPr>
          <w:rFonts w:ascii="Times New Roman" w:hAnsi="Times New Roman" w:cs="Times New Roman"/>
        </w:rPr>
        <w:t>The Australian Youth Barometer also provides a useful insight into the key public policy issues that are front of mind for young people in Australia, and the types of democratic participation strategies they consider to be useful or effective:</w:t>
      </w:r>
    </w:p>
    <w:p w14:paraId="5B190DE7" w14:textId="77777777" w:rsidR="00D735A4" w:rsidRPr="006F3A5D" w:rsidRDefault="00D735A4" w:rsidP="002D0CB1">
      <w:pPr>
        <w:pStyle w:val="Quote"/>
        <w:spacing w:after="120"/>
      </w:pPr>
      <w:r w:rsidRPr="00353509">
        <w:t xml:space="preserve">Affordable housing (73%), employment opportunities for young people (52%) and climate change (40%) are the top three issues identified by young people as needing immediate action. 70% of young Australians volunteered in </w:t>
      </w:r>
      <w:proofErr w:type="spellStart"/>
      <w:r w:rsidRPr="00353509">
        <w:t>organised</w:t>
      </w:r>
      <w:proofErr w:type="spellEnd"/>
      <w:r w:rsidRPr="00353509">
        <w:t xml:space="preserve"> activities at least once in the last year, most commonly in welfare-related care and services (50%), arts and cultural services (49%) and environmental-related activities (49%). 88% feel that there is something preventing them from being involved in volunteering. 34% of young Australians believe that it is likely or very likely that climate change will be combated in the future. 39% of young people think there is not enough government support for housing, 26% think there is not enough support in finance and 21% think that there is not enough support for mental health. Young Australians often feel unable to make change on a broad scale and see efforts to do so as somewhat futile. This contributes to a greater interest in </w:t>
      </w:r>
      <w:proofErr w:type="spellStart"/>
      <w:r w:rsidRPr="00353509">
        <w:t>individualised</w:t>
      </w:r>
      <w:proofErr w:type="spellEnd"/>
      <w:r w:rsidRPr="00353509">
        <w:t xml:space="preserve"> forms of political action such as joining special interest groups or voting with their money. 1 2 3 4 5 6 7 While social media is seen </w:t>
      </w:r>
      <w:proofErr w:type="gramStart"/>
      <w:r w:rsidRPr="00353509">
        <w:t>as a way to</w:t>
      </w:r>
      <w:proofErr w:type="gramEnd"/>
      <w:r w:rsidRPr="00353509">
        <w:t xml:space="preserve"> share information, build support for a cause and keep others accountable, young Australians are concerned that online spaces are often biased, drive the spread of misinformation and are a platform for complaining rather than taking meaningful action. Young </w:t>
      </w:r>
      <w:r w:rsidRPr="00353509">
        <w:lastRenderedPageBreak/>
        <w:t>Australians overwhelmingly feel that their voices are not well represented nor listened to in political discussions, in part due to their lack of representation in government and their relatively smaller economic footprint. As a result, some have stopped trying to make their voices heard.</w:t>
      </w:r>
    </w:p>
    <w:p w14:paraId="1A5AFF44" w14:textId="594AF5BC" w:rsidR="006D6756" w:rsidRPr="006F3A5D" w:rsidRDefault="00CE5A0C" w:rsidP="002D0CB1">
      <w:pPr>
        <w:spacing w:after="120" w:line="240" w:lineRule="auto"/>
        <w:jc w:val="both"/>
        <w:rPr>
          <w:rFonts w:ascii="Times New Roman" w:hAnsi="Times New Roman" w:cs="Times New Roman"/>
        </w:rPr>
      </w:pPr>
      <w:r>
        <w:rPr>
          <w:rFonts w:ascii="Times New Roman" w:hAnsi="Times New Roman" w:cs="Times New Roman"/>
        </w:rPr>
        <w:t xml:space="preserve">This Australian data aligns with recent international studies that seek to </w:t>
      </w:r>
      <w:r w:rsidR="00624F89">
        <w:rPr>
          <w:rFonts w:ascii="Times New Roman" w:hAnsi="Times New Roman" w:cs="Times New Roman"/>
        </w:rPr>
        <w:t xml:space="preserve">provide an insight into the lives of younger </w:t>
      </w:r>
      <w:r w:rsidR="00635C32">
        <w:rPr>
          <w:rFonts w:ascii="Times New Roman" w:hAnsi="Times New Roman" w:cs="Times New Roman"/>
        </w:rPr>
        <w:t>generations</w:t>
      </w:r>
      <w:r>
        <w:rPr>
          <w:rFonts w:ascii="Times New Roman" w:hAnsi="Times New Roman" w:cs="Times New Roman"/>
        </w:rPr>
        <w:t xml:space="preserve">.  </w:t>
      </w:r>
      <w:r w:rsidR="006D6756" w:rsidRPr="006F3A5D">
        <w:rPr>
          <w:rFonts w:ascii="Times New Roman" w:hAnsi="Times New Roman" w:cs="Times New Roman"/>
        </w:rPr>
        <w:t xml:space="preserve">In fact, millennials are the ‘most disillusioned generation in living memory’ (Lewsey, 2023) when it comes to trust in democracy and the implications of this huge.  As </w:t>
      </w:r>
      <w:proofErr w:type="spellStart"/>
      <w:r w:rsidR="006D6756" w:rsidRPr="006F3A5D">
        <w:rPr>
          <w:rFonts w:ascii="Times New Roman" w:hAnsi="Times New Roman" w:cs="Times New Roman"/>
        </w:rPr>
        <w:t>Foa</w:t>
      </w:r>
      <w:proofErr w:type="spellEnd"/>
      <w:r w:rsidR="006D6756" w:rsidRPr="006F3A5D">
        <w:rPr>
          <w:rFonts w:ascii="Times New Roman" w:hAnsi="Times New Roman" w:cs="Times New Roman"/>
        </w:rPr>
        <w:t xml:space="preserve"> et al have observed:</w:t>
      </w:r>
    </w:p>
    <w:p w14:paraId="2FFF8801" w14:textId="77777777" w:rsidR="006D6756" w:rsidRPr="006F3A5D" w:rsidRDefault="006D6756" w:rsidP="002D0CB1">
      <w:pPr>
        <w:pStyle w:val="Quote"/>
        <w:spacing w:after="120"/>
      </w:pPr>
      <w:r w:rsidRPr="006F3A5D">
        <w:t>Globally, youth satisfaction with democracy is declining – not only in absolute terms, but also relative to how older generations felt at the same stages in life. There are notable declines in four regions: Latin America, sub-Saharan Africa, western Europe, and the “Anglo-Saxon” democracies, including the United Kingdom, Australia, and the United States. In developed democracies, a major contributor to youth discontent is economic exclusion. Higher levels of youth unemployment and wealth inequality are associated with rising dissatisfaction in both absolute and relative terms – that is, a growing gap between assessments of democratic functioning between youth and older generations. (</w:t>
      </w:r>
      <w:proofErr w:type="spellStart"/>
      <w:r w:rsidRPr="006F3A5D">
        <w:t>Foa</w:t>
      </w:r>
      <w:proofErr w:type="spellEnd"/>
      <w:r w:rsidRPr="006F3A5D">
        <w:t xml:space="preserve"> et al, 2022, p. 2)</w:t>
      </w:r>
    </w:p>
    <w:p w14:paraId="79115FF5" w14:textId="16154C2B" w:rsidR="006D6756" w:rsidRPr="006F3A5D" w:rsidRDefault="006D6756"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When people are disconnected from public institutions like </w:t>
      </w:r>
      <w:r w:rsidR="0056639A" w:rsidRPr="006F3A5D">
        <w:rPr>
          <w:rFonts w:ascii="Times New Roman" w:hAnsi="Times New Roman" w:cs="Times New Roman"/>
        </w:rPr>
        <w:t>parliaments,</w:t>
      </w:r>
      <w:r w:rsidRPr="006F3A5D">
        <w:rPr>
          <w:rFonts w:ascii="Times New Roman" w:hAnsi="Times New Roman" w:cs="Times New Roman"/>
        </w:rPr>
        <w:t xml:space="preserve"> they turn other places to express their political views and they can become involved in extremism (</w:t>
      </w:r>
      <w:proofErr w:type="spellStart"/>
      <w:r w:rsidRPr="006F3A5D">
        <w:rPr>
          <w:rFonts w:ascii="Times New Roman" w:hAnsi="Times New Roman" w:cs="Times New Roman"/>
        </w:rPr>
        <w:t>Citrin</w:t>
      </w:r>
      <w:proofErr w:type="spellEnd"/>
      <w:r w:rsidRPr="006F3A5D">
        <w:rPr>
          <w:rFonts w:ascii="Times New Roman" w:hAnsi="Times New Roman" w:cs="Times New Roman"/>
        </w:rPr>
        <w:t xml:space="preserve"> &amp; Stoker, 2018).  They can also disengage from community activity and experience social and economic exclusion that can lead to loneliness (Chowdhury, 2021), which we know has short- and long-term mental health impacts (Australian Institute of Health and Welfare, 2021) that can in turn impact a person’s ability to earn a living and to bring up healthy families.</w:t>
      </w:r>
    </w:p>
    <w:p w14:paraId="2A9B32CA" w14:textId="77777777" w:rsidR="006D6756" w:rsidRPr="006F3A5D" w:rsidRDefault="006D6756" w:rsidP="002D0CB1">
      <w:pPr>
        <w:pStyle w:val="Quote"/>
        <w:spacing w:after="120"/>
      </w:pPr>
      <w:r w:rsidRPr="006F3A5D">
        <w:t>[Y]</w:t>
      </w:r>
      <w:proofErr w:type="spellStart"/>
      <w:r w:rsidRPr="006F3A5D">
        <w:t>outh</w:t>
      </w:r>
      <w:proofErr w:type="spellEnd"/>
      <w:r w:rsidRPr="006F3A5D">
        <w:t xml:space="preserve"> disengagement reflects not merely apathy, but also a rising sense of frustration with the ability of existing democratic processes to deliver tangible change.  The result of such frustration may be a growing “antipathy” to core liberal ideals such as compromise, consensus, acceptance of political opponents as legitimate and support for third-party institutions such as the media, judiciary or legislative checks and balances. (</w:t>
      </w:r>
      <w:proofErr w:type="spellStart"/>
      <w:r w:rsidRPr="006F3A5D">
        <w:t>Foa</w:t>
      </w:r>
      <w:proofErr w:type="spellEnd"/>
      <w:r w:rsidRPr="006F3A5D">
        <w:t xml:space="preserve"> et al, 2022, p. 22)</w:t>
      </w:r>
    </w:p>
    <w:p w14:paraId="1EF841BB" w14:textId="77777777" w:rsidR="006D6756" w:rsidRPr="006F3A5D" w:rsidRDefault="006D6756" w:rsidP="002D0CB1">
      <w:pPr>
        <w:spacing w:after="120" w:line="240" w:lineRule="auto"/>
        <w:jc w:val="both"/>
        <w:rPr>
          <w:rFonts w:ascii="Times New Roman" w:hAnsi="Times New Roman" w:cs="Times New Roman"/>
        </w:rPr>
      </w:pPr>
      <w:r w:rsidRPr="006F3A5D">
        <w:rPr>
          <w:rFonts w:ascii="Times New Roman" w:hAnsi="Times New Roman" w:cs="Times New Roman"/>
        </w:rPr>
        <w:t>When our young people are disengaged or disconnected from our democratic institutions, we risk becoming type of ‘post democracy’ in which ‘managerial politics has reduced the space for genuine ideological competition’ and democratic discourse is less about norms such as compromise, free exchange of ideas, or the independence public institutions from government, and more about populism or ‘authenticity’ of politicians personalities (</w:t>
      </w:r>
      <w:proofErr w:type="spellStart"/>
      <w:r w:rsidRPr="006F3A5D">
        <w:rPr>
          <w:rFonts w:ascii="Times New Roman" w:hAnsi="Times New Roman" w:cs="Times New Roman"/>
        </w:rPr>
        <w:t>Foa</w:t>
      </w:r>
      <w:proofErr w:type="spellEnd"/>
      <w:r w:rsidRPr="006F3A5D">
        <w:rPr>
          <w:rFonts w:ascii="Times New Roman" w:hAnsi="Times New Roman" w:cs="Times New Roman"/>
        </w:rPr>
        <w:t xml:space="preserve"> et al, 2022, p. 22-23).</w:t>
      </w:r>
    </w:p>
    <w:p w14:paraId="34FE6E50" w14:textId="16CB8FE3" w:rsidR="003963BC" w:rsidRPr="006F3A5D" w:rsidRDefault="006D6756"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When young people are disconnected from our parliaments and our policy making forums, we also lose the opportunity to hear from them about their ideas and strategies for solving the complex set of challenges our society faces.  We lose the chance to create the future they dream of.  This is why we need </w:t>
      </w:r>
      <w:r w:rsidR="0016439E">
        <w:rPr>
          <w:rFonts w:ascii="Times New Roman" w:hAnsi="Times New Roman" w:cs="Times New Roman"/>
          <w:i/>
          <w:iCs/>
        </w:rPr>
        <w:t xml:space="preserve">intergenerationally resilient </w:t>
      </w:r>
      <w:r w:rsidR="0016439E">
        <w:rPr>
          <w:rFonts w:ascii="Times New Roman" w:hAnsi="Times New Roman" w:cs="Times New Roman"/>
        </w:rPr>
        <w:t>democracies</w:t>
      </w:r>
      <w:r w:rsidRPr="006F3A5D">
        <w:rPr>
          <w:rFonts w:ascii="Times New Roman" w:hAnsi="Times New Roman" w:cs="Times New Roman"/>
        </w:rPr>
        <w:t xml:space="preserve"> where young people not only feel welcome but </w:t>
      </w:r>
      <w:r w:rsidR="0016439E">
        <w:rPr>
          <w:rFonts w:ascii="Times New Roman" w:hAnsi="Times New Roman" w:cs="Times New Roman"/>
        </w:rPr>
        <w:t xml:space="preserve">are </w:t>
      </w:r>
      <w:r w:rsidRPr="006F3A5D">
        <w:rPr>
          <w:rFonts w:ascii="Times New Roman" w:hAnsi="Times New Roman" w:cs="Times New Roman"/>
        </w:rPr>
        <w:t xml:space="preserve">empowered </w:t>
      </w:r>
      <w:r w:rsidR="0016439E">
        <w:rPr>
          <w:rFonts w:ascii="Times New Roman" w:hAnsi="Times New Roman" w:cs="Times New Roman"/>
        </w:rPr>
        <w:t xml:space="preserve">with the knowledge, </w:t>
      </w:r>
      <w:proofErr w:type="gramStart"/>
      <w:r w:rsidR="0016439E">
        <w:rPr>
          <w:rFonts w:ascii="Times New Roman" w:hAnsi="Times New Roman" w:cs="Times New Roman"/>
        </w:rPr>
        <w:t>trust</w:t>
      </w:r>
      <w:proofErr w:type="gramEnd"/>
      <w:r w:rsidR="0016439E">
        <w:rPr>
          <w:rFonts w:ascii="Times New Roman" w:hAnsi="Times New Roman" w:cs="Times New Roman"/>
        </w:rPr>
        <w:t xml:space="preserve"> and resources </w:t>
      </w:r>
      <w:r w:rsidRPr="006F3A5D">
        <w:rPr>
          <w:rFonts w:ascii="Times New Roman" w:hAnsi="Times New Roman" w:cs="Times New Roman"/>
        </w:rPr>
        <w:t>to</w:t>
      </w:r>
      <w:r w:rsidR="0056639A">
        <w:rPr>
          <w:rFonts w:ascii="Times New Roman" w:hAnsi="Times New Roman" w:cs="Times New Roman"/>
        </w:rPr>
        <w:t xml:space="preserve"> reshape and redefine the institutions that we rely upon to preserve and promote our shared democratic values.</w:t>
      </w:r>
    </w:p>
    <w:p w14:paraId="4D0C5BBB" w14:textId="4AA4E4A4" w:rsidR="0034716B" w:rsidRPr="006F3A5D" w:rsidRDefault="0034716B" w:rsidP="002D0CB1">
      <w:pPr>
        <w:pStyle w:val="Heading2"/>
        <w:spacing w:before="0" w:beforeAutospacing="0" w:after="120" w:afterAutospacing="0"/>
      </w:pPr>
      <w:bookmarkStart w:id="0" w:name="_Toc150432280"/>
      <w:bookmarkStart w:id="1" w:name="_Toc157765835"/>
      <w:r w:rsidRPr="006F3A5D">
        <w:t>Gre</w:t>
      </w:r>
      <w:r w:rsidR="004B44B4" w:rsidRPr="006F3A5D">
        <w:t xml:space="preserve">en shoots of innovation in Australia </w:t>
      </w:r>
    </w:p>
    <w:p w14:paraId="120114F8" w14:textId="7DA3C162" w:rsidR="00790C89" w:rsidRPr="006F3A5D" w:rsidRDefault="00790C89"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the last decade, concerted efforts have been made by </w:t>
      </w:r>
      <w:r w:rsidR="00DD7B83" w:rsidRPr="006F3A5D">
        <w:rPr>
          <w:rFonts w:ascii="Times New Roman" w:hAnsi="Times New Roman" w:cs="Times New Roman"/>
        </w:rPr>
        <w:t>institutional</w:t>
      </w:r>
      <w:r w:rsidRPr="006F3A5D">
        <w:rPr>
          <w:rFonts w:ascii="Times New Roman" w:hAnsi="Times New Roman" w:cs="Times New Roman"/>
        </w:rPr>
        <w:t xml:space="preserve"> actors (including </w:t>
      </w:r>
      <w:r w:rsidR="00DD7B83" w:rsidRPr="006F3A5D">
        <w:rPr>
          <w:rFonts w:ascii="Times New Roman" w:hAnsi="Times New Roman" w:cs="Times New Roman"/>
        </w:rPr>
        <w:t>Education</w:t>
      </w:r>
      <w:r w:rsidRPr="006F3A5D">
        <w:rPr>
          <w:rFonts w:ascii="Times New Roman" w:hAnsi="Times New Roman" w:cs="Times New Roman"/>
        </w:rPr>
        <w:t xml:space="preserve"> Departments, </w:t>
      </w:r>
      <w:r w:rsidR="00204397" w:rsidRPr="006F3A5D">
        <w:rPr>
          <w:rFonts w:ascii="Times New Roman" w:hAnsi="Times New Roman" w:cs="Times New Roman"/>
        </w:rPr>
        <w:t xml:space="preserve">parliaments, </w:t>
      </w:r>
      <w:proofErr w:type="gramStart"/>
      <w:r w:rsidR="00204397" w:rsidRPr="006F3A5D">
        <w:rPr>
          <w:rFonts w:ascii="Times New Roman" w:hAnsi="Times New Roman" w:cs="Times New Roman"/>
        </w:rPr>
        <w:t>governments</w:t>
      </w:r>
      <w:proofErr w:type="gramEnd"/>
      <w:r w:rsidR="00204397" w:rsidRPr="006F3A5D">
        <w:rPr>
          <w:rFonts w:ascii="Times New Roman" w:hAnsi="Times New Roman" w:cs="Times New Roman"/>
        </w:rPr>
        <w:t xml:space="preserve"> and local councils) to adopt </w:t>
      </w:r>
      <w:r w:rsidR="00FE41CD" w:rsidRPr="006F3A5D">
        <w:rPr>
          <w:rFonts w:ascii="Times New Roman" w:hAnsi="Times New Roman" w:cs="Times New Roman"/>
        </w:rPr>
        <w:t>evidence-based</w:t>
      </w:r>
      <w:r w:rsidR="00204397" w:rsidRPr="006F3A5D">
        <w:rPr>
          <w:rFonts w:ascii="Times New Roman" w:hAnsi="Times New Roman" w:cs="Times New Roman"/>
        </w:rPr>
        <w:t xml:space="preserve"> approaches to engaging with young people and </w:t>
      </w:r>
      <w:r w:rsidR="00DD7B83" w:rsidRPr="006F3A5D">
        <w:rPr>
          <w:rFonts w:ascii="Times New Roman" w:hAnsi="Times New Roman" w:cs="Times New Roman"/>
        </w:rPr>
        <w:t xml:space="preserve">encouraging more diverse democratic participation and engagement.  Leadership has also been shown from young people themselves, who </w:t>
      </w:r>
      <w:r w:rsidR="00B35B45" w:rsidRPr="006F3A5D">
        <w:rPr>
          <w:rFonts w:ascii="Times New Roman" w:hAnsi="Times New Roman" w:cs="Times New Roman"/>
        </w:rPr>
        <w:t>have organised into networks and campaigns to</w:t>
      </w:r>
      <w:r w:rsidR="00AC7627" w:rsidRPr="006F3A5D">
        <w:rPr>
          <w:rFonts w:ascii="Times New Roman" w:hAnsi="Times New Roman" w:cs="Times New Roman"/>
        </w:rPr>
        <w:t xml:space="preserve"> </w:t>
      </w:r>
      <w:r w:rsidR="004B44B4" w:rsidRPr="006F3A5D">
        <w:rPr>
          <w:rFonts w:ascii="Times New Roman" w:hAnsi="Times New Roman" w:cs="Times New Roman"/>
        </w:rPr>
        <w:t xml:space="preserve">advance their own political agency and influence and </w:t>
      </w:r>
      <w:r w:rsidR="001C4FF7" w:rsidRPr="006F3A5D">
        <w:rPr>
          <w:rFonts w:ascii="Times New Roman" w:hAnsi="Times New Roman" w:cs="Times New Roman"/>
        </w:rPr>
        <w:t>set forth a youth-led policy agenda to address some of the causes and manifestations of intergenerational inequality discussed above.</w:t>
      </w:r>
    </w:p>
    <w:p w14:paraId="62B97F64" w14:textId="77777777" w:rsidR="001C4FF7" w:rsidRDefault="001C4FF7" w:rsidP="002D0CB1">
      <w:pPr>
        <w:spacing w:after="120" w:line="240" w:lineRule="auto"/>
        <w:jc w:val="both"/>
        <w:rPr>
          <w:rFonts w:ascii="Times New Roman" w:hAnsi="Times New Roman" w:cs="Times New Roman"/>
        </w:rPr>
      </w:pPr>
      <w:r w:rsidRPr="006F3A5D">
        <w:rPr>
          <w:rFonts w:ascii="Times New Roman" w:hAnsi="Times New Roman" w:cs="Times New Roman"/>
        </w:rPr>
        <w:t>The below examples of ‘green shoots’ of innovation of Australia provide a basis for optimism that key decision makers, and those responsible for allocating resources to or investing in youth engagement and intergenerational resilience, are beginning to reconceptualise the role young people play in our parliamentary democracies.</w:t>
      </w:r>
    </w:p>
    <w:p w14:paraId="31DF24BF" w14:textId="4E9BA13A" w:rsidR="002111DD" w:rsidRDefault="004E56E2" w:rsidP="002376DE">
      <w:pPr>
        <w:pStyle w:val="Heading3"/>
      </w:pPr>
      <w:r w:rsidRPr="006F3A5D">
        <w:lastRenderedPageBreak/>
        <w:t xml:space="preserve">Evidence-based approaches to civics education </w:t>
      </w:r>
    </w:p>
    <w:p w14:paraId="115F141D" w14:textId="0776D7E7" w:rsidR="00141CD9" w:rsidRDefault="00141CD9" w:rsidP="002D0CB1">
      <w:pPr>
        <w:spacing w:after="120" w:line="240" w:lineRule="auto"/>
        <w:jc w:val="both"/>
        <w:rPr>
          <w:rFonts w:ascii="Times New Roman" w:hAnsi="Times New Roman" w:cs="Times New Roman"/>
          <w:lang w:val="en-US"/>
        </w:rPr>
      </w:pPr>
      <w:r w:rsidRPr="00F81C2D">
        <w:rPr>
          <w:rFonts w:ascii="Times New Roman" w:hAnsi="Times New Roman" w:cs="Times New Roman"/>
        </w:rPr>
        <w:t>There is a shared recognition among government</w:t>
      </w:r>
      <w:r w:rsidR="00072BFA" w:rsidRPr="00F81C2D">
        <w:rPr>
          <w:rFonts w:ascii="Times New Roman" w:hAnsi="Times New Roman" w:cs="Times New Roman"/>
        </w:rPr>
        <w:t xml:space="preserve">, experts and community organisations in Australia that ensuring equity access to high quality, tailored civics education is vital to rebuilding and sustaining trust in democratic </w:t>
      </w:r>
      <w:r w:rsidR="006A1524" w:rsidRPr="00F81C2D">
        <w:rPr>
          <w:rFonts w:ascii="Times New Roman" w:hAnsi="Times New Roman" w:cs="Times New Roman"/>
        </w:rPr>
        <w:t>institutions and</w:t>
      </w:r>
      <w:r w:rsidR="00072BFA" w:rsidRPr="00F81C2D">
        <w:rPr>
          <w:rFonts w:ascii="Times New Roman" w:hAnsi="Times New Roman" w:cs="Times New Roman"/>
        </w:rPr>
        <w:t xml:space="preserve"> fostering meaningful democratic participation including among young people.  This is strongly reflected in the </w:t>
      </w:r>
      <w:r w:rsidR="00F81C2D" w:rsidRPr="00F81C2D">
        <w:rPr>
          <w:rFonts w:ascii="Times New Roman" w:hAnsi="Times New Roman" w:cs="Times New Roman"/>
        </w:rPr>
        <w:t xml:space="preserve">122 </w:t>
      </w:r>
      <w:r w:rsidR="00F172B3" w:rsidRPr="00F81C2D">
        <w:rPr>
          <w:rFonts w:ascii="Times New Roman" w:hAnsi="Times New Roman" w:cs="Times New Roman"/>
        </w:rPr>
        <w:t xml:space="preserve">submissions to the </w:t>
      </w:r>
      <w:r w:rsidR="00F172B3" w:rsidRPr="00F81C2D">
        <w:rPr>
          <w:rFonts w:ascii="Times New Roman" w:hAnsi="Times New Roman" w:cs="Times New Roman"/>
          <w:lang w:val="en-US"/>
        </w:rPr>
        <w:t xml:space="preserve">Australian Parliament’s Joint Standing Committee on Electoral Matters’ inquiry into </w:t>
      </w:r>
      <w:r w:rsidR="00C43414" w:rsidRPr="00F81C2D">
        <w:rPr>
          <w:rFonts w:ascii="Times New Roman" w:hAnsi="Times New Roman" w:cs="Times New Roman"/>
          <w:color w:val="222222"/>
          <w:shd w:val="clear" w:color="auto" w:fill="FFFFFF"/>
        </w:rPr>
        <w:t>inquiry into civics education, engagement, and participation which commenced in March 2024</w:t>
      </w:r>
      <w:r w:rsidR="00F172B3" w:rsidRPr="00F81C2D">
        <w:rPr>
          <w:rFonts w:ascii="Times New Roman" w:hAnsi="Times New Roman" w:cs="Times New Roman"/>
          <w:lang w:val="en-US"/>
        </w:rPr>
        <w:t xml:space="preserve"> (JSCEM Inquiry)</w:t>
      </w:r>
      <w:r w:rsidR="00C43414" w:rsidRPr="00F81C2D">
        <w:rPr>
          <w:rFonts w:ascii="Times New Roman" w:hAnsi="Times New Roman" w:cs="Times New Roman"/>
          <w:lang w:val="en-US"/>
        </w:rPr>
        <w:t>.</w:t>
      </w:r>
      <w:r w:rsidR="00B86988">
        <w:rPr>
          <w:rFonts w:ascii="Times New Roman" w:hAnsi="Times New Roman" w:cs="Times New Roman"/>
          <w:lang w:val="en-US"/>
        </w:rPr>
        <w:t xml:space="preserve"> </w:t>
      </w:r>
      <w:r w:rsidR="00FE4270">
        <w:rPr>
          <w:rFonts w:ascii="Times New Roman" w:hAnsi="Times New Roman" w:cs="Times New Roman"/>
          <w:lang w:val="en-US"/>
        </w:rPr>
        <w:t xml:space="preserve">As Park, Lee, Notley and </w:t>
      </w:r>
      <w:proofErr w:type="spellStart"/>
      <w:r w:rsidR="00FE4270">
        <w:rPr>
          <w:rFonts w:ascii="Times New Roman" w:hAnsi="Times New Roman" w:cs="Times New Roman"/>
          <w:lang w:val="en-US"/>
        </w:rPr>
        <w:t>Dezuanni</w:t>
      </w:r>
      <w:proofErr w:type="spellEnd"/>
      <w:r w:rsidR="00FE4270">
        <w:rPr>
          <w:rFonts w:ascii="Times New Roman" w:hAnsi="Times New Roman" w:cs="Times New Roman"/>
          <w:lang w:val="en-US"/>
        </w:rPr>
        <w:t xml:space="preserve"> have observed (2023):</w:t>
      </w:r>
    </w:p>
    <w:p w14:paraId="2F65EC0F" w14:textId="1DF3D9EB" w:rsidR="009A5097" w:rsidRPr="00FE4270" w:rsidRDefault="009A5097" w:rsidP="002D0CB1">
      <w:pPr>
        <w:pStyle w:val="Quote"/>
        <w:spacing w:after="120"/>
        <w:rPr>
          <w:color w:val="222222"/>
          <w:sz w:val="23"/>
          <w:szCs w:val="23"/>
          <w:shd w:val="clear" w:color="auto" w:fill="FFFFFF"/>
          <w:lang w:val="en-AU"/>
        </w:rPr>
      </w:pPr>
      <w:r w:rsidRPr="00FE4270">
        <w:t xml:space="preserve">there is a clear association between news consumption and civic engagement. Effective civic participation is founded on informed citizens, who are aware of local, </w:t>
      </w:r>
      <w:proofErr w:type="gramStart"/>
      <w:r w:rsidRPr="00FE4270">
        <w:t>national</w:t>
      </w:r>
      <w:proofErr w:type="gramEnd"/>
      <w:r w:rsidRPr="00FE4270">
        <w:t xml:space="preserve"> and international events and developments. Citizens become informed about local, </w:t>
      </w:r>
      <w:proofErr w:type="gramStart"/>
      <w:r w:rsidRPr="00FE4270">
        <w:t>national</w:t>
      </w:r>
      <w:proofErr w:type="gramEnd"/>
      <w:r w:rsidRPr="00FE4270">
        <w:t xml:space="preserve"> and international events and developments primarily through accessing a diverse range of media. Our research shows that adult Australians who consume online news regularly are 20% more likely to participate in civic activities. In addition, more than half of Australian children aged 12-16 who have high interest in news reported getting involved online in social issues (56%), compared to only 9% of those who have the lowest level of interest in news. Furthermore, children who received news literacy education at school reported higher digital civic engagement levels compared to those who did not receive this education.</w:t>
      </w:r>
    </w:p>
    <w:p w14:paraId="6D56310E" w14:textId="2ABC846D" w:rsidR="00254EDC" w:rsidRPr="00FE4270" w:rsidRDefault="00C71692" w:rsidP="002D0CB1">
      <w:pPr>
        <w:autoSpaceDE w:val="0"/>
        <w:autoSpaceDN w:val="0"/>
        <w:adjustRightInd w:val="0"/>
        <w:spacing w:after="120" w:line="240" w:lineRule="auto"/>
        <w:jc w:val="both"/>
        <w:rPr>
          <w:rFonts w:ascii="Times New Roman" w:hAnsi="Times New Roman" w:cs="Times New Roman"/>
          <w:lang w:val="en-US"/>
        </w:rPr>
      </w:pPr>
      <w:r w:rsidRPr="00FE4270">
        <w:rPr>
          <w:rFonts w:ascii="Times New Roman" w:hAnsi="Times New Roman" w:cs="Times New Roman"/>
          <w:lang w:val="en-US"/>
        </w:rPr>
        <w:t xml:space="preserve">Australia’s </w:t>
      </w:r>
      <w:proofErr w:type="spellStart"/>
      <w:r w:rsidRPr="00FE4270">
        <w:rPr>
          <w:rFonts w:ascii="Times New Roman" w:hAnsi="Times New Roman" w:cs="Times New Roman"/>
          <w:lang w:val="en-US"/>
        </w:rPr>
        <w:t>decentrali</w:t>
      </w:r>
      <w:r w:rsidR="0056639A">
        <w:rPr>
          <w:rFonts w:ascii="Times New Roman" w:hAnsi="Times New Roman" w:cs="Times New Roman"/>
          <w:lang w:val="en-US"/>
        </w:rPr>
        <w:t>s</w:t>
      </w:r>
      <w:r w:rsidRPr="00FE4270">
        <w:rPr>
          <w:rFonts w:ascii="Times New Roman" w:hAnsi="Times New Roman" w:cs="Times New Roman"/>
          <w:lang w:val="en-US"/>
        </w:rPr>
        <w:t>ed</w:t>
      </w:r>
      <w:proofErr w:type="spellEnd"/>
      <w:r w:rsidRPr="00FE4270">
        <w:rPr>
          <w:rFonts w:ascii="Times New Roman" w:hAnsi="Times New Roman" w:cs="Times New Roman"/>
          <w:lang w:val="en-US"/>
        </w:rPr>
        <w:t xml:space="preserve"> education system (</w:t>
      </w:r>
      <w:r w:rsidRPr="00FE4270">
        <w:rPr>
          <w:rFonts w:ascii="Times New Roman" w:hAnsi="Times New Roman" w:cs="Times New Roman"/>
          <w:kern w:val="0"/>
        </w:rPr>
        <w:t>Australian Curriculum, Assessment and Reporting Authority ACARA) 2020, p.4,5) presents obstacles in achieving consistency and coherence in civic education curricula</w:t>
      </w:r>
      <w:r w:rsidR="00792F30" w:rsidRPr="00FE4270">
        <w:rPr>
          <w:rFonts w:ascii="Times New Roman" w:hAnsi="Times New Roman" w:cs="Times New Roman"/>
          <w:kern w:val="0"/>
        </w:rPr>
        <w:t xml:space="preserve">, as does its non-compulsory </w:t>
      </w:r>
      <w:r w:rsidRPr="00FE4270">
        <w:rPr>
          <w:rFonts w:ascii="Times New Roman" w:hAnsi="Times New Roman" w:cs="Times New Roman"/>
          <w:kern w:val="0"/>
        </w:rPr>
        <w:t>nature</w:t>
      </w:r>
      <w:r w:rsidR="0036769B" w:rsidRPr="00FE4270">
        <w:rPr>
          <w:rFonts w:ascii="Times New Roman" w:hAnsi="Times New Roman" w:cs="Times New Roman"/>
          <w:kern w:val="0"/>
        </w:rPr>
        <w:t xml:space="preserve"> beyond year 10</w:t>
      </w:r>
      <w:r w:rsidR="00792F30" w:rsidRPr="00FE4270">
        <w:rPr>
          <w:rFonts w:ascii="Times New Roman" w:hAnsi="Times New Roman" w:cs="Times New Roman"/>
          <w:kern w:val="0"/>
        </w:rPr>
        <w:t xml:space="preserve">.  </w:t>
      </w:r>
      <w:r w:rsidR="00CC6989" w:rsidRPr="00FE4270">
        <w:rPr>
          <w:rFonts w:ascii="Times New Roman" w:hAnsi="Times New Roman" w:cs="Times New Roman"/>
          <w:kern w:val="0"/>
        </w:rPr>
        <w:t>As of 2023, the civics and citizenship curriculum for years 7-10 covers four key areas</w:t>
      </w:r>
      <w:r w:rsidR="00254EDC" w:rsidRPr="00FE4270">
        <w:rPr>
          <w:rFonts w:ascii="Times New Roman" w:hAnsi="Times New Roman" w:cs="Times New Roman"/>
          <w:kern w:val="0"/>
        </w:rPr>
        <w:t xml:space="preserve">: </w:t>
      </w:r>
      <w:r w:rsidR="00CC6989" w:rsidRPr="00FE4270">
        <w:rPr>
          <w:rFonts w:ascii="Times New Roman" w:hAnsi="Times New Roman" w:cs="Times New Roman"/>
          <w:kern w:val="0"/>
        </w:rPr>
        <w:t>‘government and democracy’; ‘laws and citizens’; and ‘citizenship, diversity and</w:t>
      </w:r>
      <w:r w:rsidR="00254EDC" w:rsidRPr="00FE4270">
        <w:rPr>
          <w:rFonts w:ascii="Times New Roman" w:hAnsi="Times New Roman" w:cs="Times New Roman"/>
          <w:kern w:val="0"/>
        </w:rPr>
        <w:t xml:space="preserve"> </w:t>
      </w:r>
      <w:r w:rsidR="00CC6989" w:rsidRPr="00FE4270">
        <w:rPr>
          <w:rFonts w:ascii="Times New Roman" w:hAnsi="Times New Roman" w:cs="Times New Roman"/>
          <w:kern w:val="0"/>
        </w:rPr>
        <w:t xml:space="preserve">identity’, (ACARA 2024). </w:t>
      </w:r>
      <w:r w:rsidR="006354E1" w:rsidRPr="00FE4270">
        <w:rPr>
          <w:rFonts w:ascii="Times New Roman" w:hAnsi="Times New Roman" w:cs="Times New Roman"/>
          <w:kern w:val="0"/>
        </w:rPr>
        <w:t xml:space="preserve">Beyond year 10, </w:t>
      </w:r>
      <w:r w:rsidR="00254EDC" w:rsidRPr="00FE4270">
        <w:rPr>
          <w:rFonts w:ascii="Times New Roman" w:hAnsi="Times New Roman" w:cs="Times New Roman"/>
          <w:kern w:val="0"/>
        </w:rPr>
        <w:t>the civics and citizenship educational experience differs</w:t>
      </w:r>
      <w:r w:rsidR="006354E1" w:rsidRPr="00FE4270">
        <w:rPr>
          <w:rFonts w:ascii="Times New Roman" w:hAnsi="Times New Roman" w:cs="Times New Roman"/>
          <w:kern w:val="0"/>
        </w:rPr>
        <w:t xml:space="preserve"> significantly from state to state</w:t>
      </w:r>
      <w:r w:rsidR="00254EDC" w:rsidRPr="00FE4270">
        <w:rPr>
          <w:rFonts w:ascii="Times New Roman" w:hAnsi="Times New Roman" w:cs="Times New Roman"/>
          <w:kern w:val="0"/>
        </w:rPr>
        <w:t xml:space="preserve"> </w:t>
      </w:r>
      <w:r w:rsidR="006354E1" w:rsidRPr="00FE4270">
        <w:rPr>
          <w:rFonts w:ascii="Times New Roman" w:hAnsi="Times New Roman" w:cs="Times New Roman"/>
          <w:kern w:val="0"/>
        </w:rPr>
        <w:t>(ACARA 2022, p. 56)</w:t>
      </w:r>
      <w:r w:rsidR="00254EDC" w:rsidRPr="00FE4270">
        <w:rPr>
          <w:rFonts w:ascii="Times New Roman" w:hAnsi="Times New Roman" w:cs="Times New Roman"/>
          <w:kern w:val="0"/>
        </w:rPr>
        <w:t xml:space="preserve">. </w:t>
      </w:r>
      <w:r w:rsidR="00254EDC" w:rsidRPr="00FE4270">
        <w:rPr>
          <w:rFonts w:ascii="Times New Roman" w:hAnsi="Times New Roman" w:cs="Times New Roman"/>
          <w:lang w:val="en-US"/>
        </w:rPr>
        <w:t xml:space="preserve">As a </w:t>
      </w:r>
      <w:r w:rsidR="0056639A" w:rsidRPr="00FE4270">
        <w:rPr>
          <w:rFonts w:ascii="Times New Roman" w:hAnsi="Times New Roman" w:cs="Times New Roman"/>
          <w:lang w:val="en-US"/>
        </w:rPr>
        <w:t>result,</w:t>
      </w:r>
      <w:r w:rsidR="00254EDC" w:rsidRPr="00FE4270">
        <w:rPr>
          <w:rFonts w:ascii="Times New Roman" w:hAnsi="Times New Roman" w:cs="Times New Roman"/>
          <w:lang w:val="en-US"/>
        </w:rPr>
        <w:t xml:space="preserve"> there is a growing consensus around the need to ensure that all Australian schools are </w:t>
      </w:r>
      <w:r w:rsidR="00254EDC" w:rsidRPr="00FE4270">
        <w:rPr>
          <w:rFonts w:ascii="Times New Roman" w:hAnsi="Times New Roman" w:cs="Times New Roman"/>
          <w:kern w:val="0"/>
        </w:rPr>
        <w:t>successfully developing active, informed, engaging and participatory Civics and Citizenship education and to disseminate these findings widely (SCEAA JCEM Submission 2024)</w:t>
      </w:r>
      <w:r w:rsidR="00254EDC" w:rsidRPr="00FE4270">
        <w:rPr>
          <w:rFonts w:ascii="Times New Roman" w:hAnsi="Times New Roman" w:cs="Times New Roman"/>
          <w:lang w:val="en-US"/>
        </w:rPr>
        <w:t>.</w:t>
      </w:r>
    </w:p>
    <w:p w14:paraId="7D6310C0" w14:textId="26EF862D" w:rsidR="001633FA" w:rsidRPr="00FE4270" w:rsidRDefault="00254EDC" w:rsidP="002D0CB1">
      <w:pPr>
        <w:autoSpaceDE w:val="0"/>
        <w:autoSpaceDN w:val="0"/>
        <w:adjustRightInd w:val="0"/>
        <w:spacing w:after="120" w:line="240" w:lineRule="auto"/>
        <w:jc w:val="both"/>
        <w:rPr>
          <w:rFonts w:ascii="Times New Roman" w:hAnsi="Times New Roman" w:cs="Times New Roman"/>
          <w:kern w:val="0"/>
        </w:rPr>
      </w:pPr>
      <w:r w:rsidRPr="00FE4270">
        <w:rPr>
          <w:rFonts w:ascii="Times New Roman" w:hAnsi="Times New Roman" w:cs="Times New Roman"/>
          <w:lang w:val="en-US"/>
        </w:rPr>
        <w:t xml:space="preserve">Some Australian </w:t>
      </w:r>
      <w:r w:rsidR="0001670E" w:rsidRPr="00FE4270">
        <w:rPr>
          <w:rFonts w:ascii="Times New Roman" w:hAnsi="Times New Roman" w:cs="Times New Roman"/>
          <w:lang w:val="en-US"/>
        </w:rPr>
        <w:t xml:space="preserve">schools are embracing the existing civics and citizenship curriculum by </w:t>
      </w:r>
      <w:r w:rsidR="0096369C" w:rsidRPr="00FE4270">
        <w:rPr>
          <w:rFonts w:ascii="Times New Roman" w:hAnsi="Times New Roman" w:cs="Times New Roman"/>
          <w:kern w:val="0"/>
        </w:rPr>
        <w:t>developing community engagement through</w:t>
      </w:r>
      <w:r w:rsidR="0001670E" w:rsidRPr="00FE4270">
        <w:rPr>
          <w:rFonts w:ascii="Times New Roman" w:hAnsi="Times New Roman" w:cs="Times New Roman"/>
          <w:kern w:val="0"/>
        </w:rPr>
        <w:t xml:space="preserve"> </w:t>
      </w:r>
      <w:r w:rsidR="0096369C" w:rsidRPr="00FE4270">
        <w:rPr>
          <w:rFonts w:ascii="Times New Roman" w:hAnsi="Times New Roman" w:cs="Times New Roman"/>
          <w:kern w:val="0"/>
        </w:rPr>
        <w:t>whole-school approaches including making connections to local community</w:t>
      </w:r>
      <w:r w:rsidR="0001670E" w:rsidRPr="00FE4270">
        <w:rPr>
          <w:rFonts w:ascii="Times New Roman" w:hAnsi="Times New Roman" w:cs="Times New Roman"/>
          <w:kern w:val="0"/>
        </w:rPr>
        <w:t xml:space="preserve"> </w:t>
      </w:r>
      <w:r w:rsidR="0096369C" w:rsidRPr="00FE4270">
        <w:rPr>
          <w:rFonts w:ascii="Times New Roman" w:hAnsi="Times New Roman" w:cs="Times New Roman"/>
          <w:kern w:val="0"/>
        </w:rPr>
        <w:t>organisations</w:t>
      </w:r>
      <w:r w:rsidR="0056639A">
        <w:rPr>
          <w:rFonts w:ascii="Times New Roman" w:hAnsi="Times New Roman" w:cs="Times New Roman"/>
          <w:kern w:val="0"/>
        </w:rPr>
        <w:t xml:space="preserve">, </w:t>
      </w:r>
      <w:r w:rsidR="0001670E" w:rsidRPr="00FE4270">
        <w:rPr>
          <w:rFonts w:ascii="Times New Roman" w:hAnsi="Times New Roman" w:cs="Times New Roman"/>
          <w:kern w:val="0"/>
        </w:rPr>
        <w:t xml:space="preserve">engaging students in authentic and purposeful ways in contemporary issues and </w:t>
      </w:r>
      <w:proofErr w:type="gramStart"/>
      <w:r w:rsidR="0001670E" w:rsidRPr="00FE4270">
        <w:rPr>
          <w:rFonts w:ascii="Times New Roman" w:hAnsi="Times New Roman" w:cs="Times New Roman"/>
          <w:kern w:val="0"/>
        </w:rPr>
        <w:t>taking action</w:t>
      </w:r>
      <w:proofErr w:type="gramEnd"/>
      <w:r w:rsidR="0001670E" w:rsidRPr="00FE4270">
        <w:rPr>
          <w:rFonts w:ascii="Times New Roman" w:hAnsi="Times New Roman" w:cs="Times New Roman"/>
          <w:kern w:val="0"/>
        </w:rPr>
        <w:t xml:space="preserve"> around issues that matter to them in their lives (SCEAA JCEM Submission 2024)</w:t>
      </w:r>
      <w:r w:rsidR="0001670E" w:rsidRPr="00FE4270">
        <w:rPr>
          <w:rFonts w:ascii="Times New Roman" w:hAnsi="Times New Roman" w:cs="Times New Roman"/>
          <w:lang w:val="en-US"/>
        </w:rPr>
        <w:t>.</w:t>
      </w:r>
      <w:r w:rsidR="0001670E" w:rsidRPr="00FE4270">
        <w:rPr>
          <w:rFonts w:ascii="Times New Roman" w:hAnsi="Times New Roman" w:cs="Times New Roman"/>
          <w:kern w:val="0"/>
        </w:rPr>
        <w:t xml:space="preserve">  When this approach is taken, there is evidence that educators are recognising their students as </w:t>
      </w:r>
      <w:r w:rsidR="0096369C" w:rsidRPr="00FE4270">
        <w:rPr>
          <w:rFonts w:ascii="Times New Roman" w:hAnsi="Times New Roman" w:cs="Times New Roman"/>
          <w:kern w:val="0"/>
        </w:rPr>
        <w:t>citizens now, not citizens in</w:t>
      </w:r>
      <w:r w:rsidR="0001670E" w:rsidRPr="00FE4270">
        <w:rPr>
          <w:rFonts w:ascii="Times New Roman" w:hAnsi="Times New Roman" w:cs="Times New Roman"/>
          <w:kern w:val="0"/>
        </w:rPr>
        <w:t xml:space="preserve"> </w:t>
      </w:r>
      <w:r w:rsidR="006F35BF" w:rsidRPr="00FE4270">
        <w:rPr>
          <w:rFonts w:ascii="Times New Roman" w:hAnsi="Times New Roman" w:cs="Times New Roman"/>
          <w:kern w:val="0"/>
        </w:rPr>
        <w:t>waiting</w:t>
      </w:r>
      <w:r w:rsidR="0001670E" w:rsidRPr="00FE4270">
        <w:rPr>
          <w:rFonts w:ascii="Times New Roman" w:hAnsi="Times New Roman" w:cs="Times New Roman"/>
          <w:kern w:val="0"/>
        </w:rPr>
        <w:t xml:space="preserve"> (SCEAA JCEM Submission 2024)</w:t>
      </w:r>
      <w:r w:rsidR="0001670E" w:rsidRPr="00FE4270">
        <w:rPr>
          <w:rFonts w:ascii="Times New Roman" w:hAnsi="Times New Roman" w:cs="Times New Roman"/>
          <w:lang w:val="en-US"/>
        </w:rPr>
        <w:t>.</w:t>
      </w:r>
      <w:r w:rsidR="0001670E" w:rsidRPr="00FE4270">
        <w:rPr>
          <w:rFonts w:ascii="Times New Roman" w:hAnsi="Times New Roman" w:cs="Times New Roman"/>
          <w:kern w:val="0"/>
        </w:rPr>
        <w:t xml:space="preserve">  </w:t>
      </w:r>
      <w:r w:rsidR="005964AA" w:rsidRPr="00FE4270">
        <w:rPr>
          <w:rFonts w:ascii="Times New Roman" w:hAnsi="Times New Roman" w:cs="Times New Roman"/>
          <w:kern w:val="0"/>
        </w:rPr>
        <w:t xml:space="preserve">An example of this approach is the </w:t>
      </w:r>
      <w:r w:rsidR="006F35BF" w:rsidRPr="00FE4270">
        <w:rPr>
          <w:rFonts w:ascii="Times New Roman" w:hAnsi="Times New Roman" w:cs="Times New Roman"/>
          <w:kern w:val="0"/>
        </w:rPr>
        <w:t>Parliament and Civics Education Rebate (PACER) program</w:t>
      </w:r>
      <w:r w:rsidR="005964AA" w:rsidRPr="00FE4270">
        <w:rPr>
          <w:rFonts w:ascii="Times New Roman" w:hAnsi="Times New Roman" w:cs="Times New Roman"/>
          <w:kern w:val="0"/>
        </w:rPr>
        <w:t xml:space="preserve"> which </w:t>
      </w:r>
      <w:r w:rsidR="006F35BF" w:rsidRPr="00FE4270">
        <w:rPr>
          <w:rFonts w:ascii="Times New Roman" w:hAnsi="Times New Roman" w:cs="Times New Roman"/>
          <w:kern w:val="0"/>
        </w:rPr>
        <w:t>facilitate</w:t>
      </w:r>
      <w:r w:rsidR="005964AA" w:rsidRPr="00FE4270">
        <w:rPr>
          <w:rFonts w:ascii="Times New Roman" w:hAnsi="Times New Roman" w:cs="Times New Roman"/>
          <w:kern w:val="0"/>
        </w:rPr>
        <w:t>s</w:t>
      </w:r>
      <w:r w:rsidR="006F35BF" w:rsidRPr="00FE4270">
        <w:rPr>
          <w:rFonts w:ascii="Times New Roman" w:hAnsi="Times New Roman" w:cs="Times New Roman"/>
          <w:kern w:val="0"/>
        </w:rPr>
        <w:t xml:space="preserve"> on-site learning about national democratic, historical, and cultural</w:t>
      </w:r>
      <w:r w:rsidR="005964AA" w:rsidRPr="00FE4270">
        <w:rPr>
          <w:rFonts w:ascii="Times New Roman" w:hAnsi="Times New Roman" w:cs="Times New Roman"/>
          <w:kern w:val="0"/>
        </w:rPr>
        <w:t xml:space="preserve"> </w:t>
      </w:r>
      <w:r w:rsidR="006F35BF" w:rsidRPr="00FE4270">
        <w:rPr>
          <w:rFonts w:ascii="Times New Roman" w:hAnsi="Times New Roman" w:cs="Times New Roman"/>
          <w:kern w:val="0"/>
        </w:rPr>
        <w:t>institutions in Canberra</w:t>
      </w:r>
      <w:r w:rsidR="001633FA" w:rsidRPr="00FE4270">
        <w:rPr>
          <w:rFonts w:ascii="Times New Roman" w:hAnsi="Times New Roman" w:cs="Times New Roman"/>
          <w:kern w:val="0"/>
        </w:rPr>
        <w:t>.</w:t>
      </w:r>
    </w:p>
    <w:p w14:paraId="15F127AB" w14:textId="3457CDEF" w:rsidR="005964AA" w:rsidRPr="00F6492B" w:rsidRDefault="0056639A" w:rsidP="002D0CB1">
      <w:pPr>
        <w:pStyle w:val="NormalWeb"/>
        <w:spacing w:before="0" w:beforeAutospacing="0" w:after="120" w:afterAutospacing="0"/>
        <w:jc w:val="both"/>
        <w:rPr>
          <w:sz w:val="22"/>
          <w:szCs w:val="22"/>
        </w:rPr>
      </w:pPr>
      <w:r>
        <w:rPr>
          <w:sz w:val="22"/>
          <w:szCs w:val="22"/>
        </w:rPr>
        <w:t xml:space="preserve">The </w:t>
      </w:r>
      <w:r w:rsidR="001633FA" w:rsidRPr="00F6492B">
        <w:rPr>
          <w:sz w:val="22"/>
          <w:szCs w:val="22"/>
        </w:rPr>
        <w:t xml:space="preserve">PACER Parliament Education Program is an Australian initiative designed to engage students with the workings of parliamentary democracy through interactive and educational experiences. </w:t>
      </w:r>
      <w:r>
        <w:rPr>
          <w:sz w:val="22"/>
          <w:szCs w:val="22"/>
        </w:rPr>
        <w:t>The program includes hands-on activities including</w:t>
      </w:r>
      <w:r w:rsidR="001633FA" w:rsidRPr="00F6492B">
        <w:rPr>
          <w:sz w:val="22"/>
          <w:szCs w:val="22"/>
        </w:rPr>
        <w:t xml:space="preserve"> simulations of parliamentary processes where students can role-play as members of parliament, debate bills, and participate in mock elections</w:t>
      </w:r>
      <w:r w:rsidR="001E5A6E" w:rsidRPr="00F6492B">
        <w:rPr>
          <w:sz w:val="22"/>
          <w:szCs w:val="22"/>
        </w:rPr>
        <w:t xml:space="preserve">, as well as the provision of </w:t>
      </w:r>
      <w:r w:rsidR="001633FA" w:rsidRPr="00F6492B">
        <w:rPr>
          <w:sz w:val="22"/>
          <w:szCs w:val="22"/>
        </w:rPr>
        <w:t>a range of resources, including lesson plans</w:t>
      </w:r>
      <w:r>
        <w:rPr>
          <w:sz w:val="22"/>
          <w:szCs w:val="22"/>
        </w:rPr>
        <w:t xml:space="preserve"> </w:t>
      </w:r>
      <w:r w:rsidR="001633FA" w:rsidRPr="00F6492B">
        <w:rPr>
          <w:sz w:val="22"/>
          <w:szCs w:val="22"/>
        </w:rPr>
        <w:t>and multimedia material to support teachers in delivering engaging civics education.</w:t>
      </w:r>
      <w:r w:rsidR="001E5A6E" w:rsidRPr="00F6492B">
        <w:rPr>
          <w:sz w:val="22"/>
          <w:szCs w:val="22"/>
        </w:rPr>
        <w:t xml:space="preserve">  PACER also facilitates student visits to </w:t>
      </w:r>
      <w:r w:rsidR="001633FA" w:rsidRPr="00F6492B">
        <w:rPr>
          <w:sz w:val="22"/>
          <w:szCs w:val="22"/>
        </w:rPr>
        <w:t xml:space="preserve">parliamentary chambers </w:t>
      </w:r>
      <w:r>
        <w:rPr>
          <w:sz w:val="22"/>
          <w:szCs w:val="22"/>
        </w:rPr>
        <w:t>as well as</w:t>
      </w:r>
      <w:r w:rsidR="001633FA" w:rsidRPr="00F6492B">
        <w:rPr>
          <w:sz w:val="22"/>
          <w:szCs w:val="22"/>
        </w:rPr>
        <w:t xml:space="preserve"> outreach activities where parliamentary educators visit schools to deliver interactive sessions and provide personali</w:t>
      </w:r>
      <w:r>
        <w:rPr>
          <w:sz w:val="22"/>
          <w:szCs w:val="22"/>
        </w:rPr>
        <w:t>s</w:t>
      </w:r>
      <w:r w:rsidR="001633FA" w:rsidRPr="00F6492B">
        <w:rPr>
          <w:sz w:val="22"/>
          <w:szCs w:val="22"/>
        </w:rPr>
        <w:t>ed support</w:t>
      </w:r>
      <w:r>
        <w:rPr>
          <w:sz w:val="22"/>
          <w:szCs w:val="22"/>
        </w:rPr>
        <w:t xml:space="preserve"> to teachers</w:t>
      </w:r>
      <w:r w:rsidR="001633FA" w:rsidRPr="00F6492B">
        <w:rPr>
          <w:sz w:val="22"/>
          <w:szCs w:val="22"/>
        </w:rPr>
        <w:t>.</w:t>
      </w:r>
    </w:p>
    <w:p w14:paraId="4358B68D" w14:textId="2D65EE4D" w:rsidR="002636E6" w:rsidRPr="00F6492B" w:rsidRDefault="00FE4270" w:rsidP="002D0CB1">
      <w:pPr>
        <w:pStyle w:val="Default"/>
        <w:spacing w:after="120"/>
        <w:jc w:val="both"/>
        <w:rPr>
          <w:sz w:val="22"/>
          <w:szCs w:val="22"/>
        </w:rPr>
      </w:pPr>
      <w:r w:rsidRPr="00F6492B">
        <w:rPr>
          <w:sz w:val="22"/>
          <w:szCs w:val="22"/>
        </w:rPr>
        <w:t xml:space="preserve">The Australian Electoral Commission (AEC) also provides </w:t>
      </w:r>
      <w:r w:rsidR="005E3ACB" w:rsidRPr="00F6492B">
        <w:rPr>
          <w:sz w:val="22"/>
          <w:szCs w:val="22"/>
        </w:rPr>
        <w:t xml:space="preserve">a comprehensive school-based electoral education program, focussing on experiential learning practices. Through </w:t>
      </w:r>
      <w:r w:rsidRPr="00F6492B">
        <w:rPr>
          <w:sz w:val="22"/>
          <w:szCs w:val="22"/>
        </w:rPr>
        <w:t xml:space="preserve">the AEC’s </w:t>
      </w:r>
      <w:r w:rsidR="005E3ACB" w:rsidRPr="00F6492B">
        <w:rPr>
          <w:sz w:val="22"/>
          <w:szCs w:val="22"/>
        </w:rPr>
        <w:t xml:space="preserve">National Electoral Education Centre and Get Voting packs sent to schools, students </w:t>
      </w:r>
      <w:r w:rsidR="0056639A">
        <w:rPr>
          <w:sz w:val="22"/>
          <w:szCs w:val="22"/>
        </w:rPr>
        <w:t xml:space="preserve">can practice </w:t>
      </w:r>
      <w:r w:rsidR="005E3ACB" w:rsidRPr="00F6492B">
        <w:rPr>
          <w:sz w:val="22"/>
          <w:szCs w:val="22"/>
        </w:rPr>
        <w:t>how to enrol, vot</w:t>
      </w:r>
      <w:r w:rsidR="0056639A">
        <w:rPr>
          <w:sz w:val="22"/>
          <w:szCs w:val="22"/>
        </w:rPr>
        <w:t>e</w:t>
      </w:r>
      <w:r w:rsidR="005E3ACB" w:rsidRPr="00F6492B">
        <w:rPr>
          <w:sz w:val="22"/>
          <w:szCs w:val="22"/>
        </w:rPr>
        <w:t xml:space="preserve">, </w:t>
      </w:r>
      <w:r w:rsidR="0056639A">
        <w:rPr>
          <w:sz w:val="22"/>
          <w:szCs w:val="22"/>
        </w:rPr>
        <w:t xml:space="preserve">and </w:t>
      </w:r>
      <w:r w:rsidR="005E3ACB" w:rsidRPr="00F6492B">
        <w:rPr>
          <w:sz w:val="22"/>
          <w:szCs w:val="22"/>
        </w:rPr>
        <w:t>coun</w:t>
      </w:r>
      <w:r w:rsidR="0056639A">
        <w:rPr>
          <w:sz w:val="22"/>
          <w:szCs w:val="22"/>
        </w:rPr>
        <w:t>t</w:t>
      </w:r>
      <w:r w:rsidR="005E3ACB" w:rsidRPr="00F6492B">
        <w:rPr>
          <w:sz w:val="22"/>
          <w:szCs w:val="22"/>
        </w:rPr>
        <w:t xml:space="preserve"> votes and declar</w:t>
      </w:r>
      <w:r w:rsidR="0056639A">
        <w:rPr>
          <w:sz w:val="22"/>
          <w:szCs w:val="22"/>
        </w:rPr>
        <w:t>e</w:t>
      </w:r>
      <w:r w:rsidR="005E3ACB" w:rsidRPr="00F6492B">
        <w:rPr>
          <w:sz w:val="22"/>
          <w:szCs w:val="22"/>
        </w:rPr>
        <w:t xml:space="preserve"> a result. </w:t>
      </w:r>
      <w:r w:rsidR="00AE0E86" w:rsidRPr="00F6492B">
        <w:rPr>
          <w:sz w:val="22"/>
          <w:szCs w:val="22"/>
        </w:rPr>
        <w:t xml:space="preserve">The AEC has also </w:t>
      </w:r>
      <w:r w:rsidR="005E3ACB" w:rsidRPr="00F6492B">
        <w:rPr>
          <w:sz w:val="22"/>
          <w:szCs w:val="22"/>
        </w:rPr>
        <w:t xml:space="preserve">developed a 3D online game </w:t>
      </w:r>
      <w:r w:rsidR="003C17AC" w:rsidRPr="00F6492B">
        <w:rPr>
          <w:sz w:val="22"/>
          <w:szCs w:val="22"/>
        </w:rPr>
        <w:t>called ‘</w:t>
      </w:r>
      <w:proofErr w:type="spellStart"/>
      <w:r w:rsidR="003C17AC" w:rsidRPr="00F6492B">
        <w:rPr>
          <w:sz w:val="22"/>
          <w:szCs w:val="22"/>
        </w:rPr>
        <w:t>Democra</w:t>
      </w:r>
      <w:r w:rsidR="00C13064" w:rsidRPr="00F6492B">
        <w:rPr>
          <w:sz w:val="22"/>
          <w:szCs w:val="22"/>
        </w:rPr>
        <w:t>city</w:t>
      </w:r>
      <w:proofErr w:type="spellEnd"/>
      <w:r w:rsidR="00C13064" w:rsidRPr="00F6492B">
        <w:rPr>
          <w:sz w:val="22"/>
          <w:szCs w:val="22"/>
        </w:rPr>
        <w:t xml:space="preserve">’ </w:t>
      </w:r>
      <w:r w:rsidR="005E3ACB" w:rsidRPr="00F6492B">
        <w:rPr>
          <w:sz w:val="22"/>
          <w:szCs w:val="22"/>
        </w:rPr>
        <w:t>available for download by schools via an app, scheduled to launch in 2025.</w:t>
      </w:r>
      <w:r w:rsidR="00C13064" w:rsidRPr="00F6492B">
        <w:rPr>
          <w:sz w:val="22"/>
          <w:szCs w:val="22"/>
        </w:rPr>
        <w:t xml:space="preserve"> The</w:t>
      </w:r>
      <w:r w:rsidR="005E3ACB" w:rsidRPr="00F6492B">
        <w:rPr>
          <w:sz w:val="22"/>
          <w:szCs w:val="22"/>
        </w:rPr>
        <w:t xml:space="preserve"> </w:t>
      </w:r>
      <w:r w:rsidR="003C17AC" w:rsidRPr="00F6492B">
        <w:rPr>
          <w:sz w:val="22"/>
          <w:szCs w:val="22"/>
        </w:rPr>
        <w:t>game will allow students to explore the history of Australian democracy along with key election activities and concepts such as representation and ballot paper formality</w:t>
      </w:r>
      <w:r w:rsidR="00C13064" w:rsidRPr="00F6492B">
        <w:rPr>
          <w:sz w:val="22"/>
          <w:szCs w:val="22"/>
        </w:rPr>
        <w:t xml:space="preserve"> (AEC submission to JSCEM, 2024) and </w:t>
      </w:r>
      <w:r w:rsidR="003C17AC" w:rsidRPr="00F6492B">
        <w:rPr>
          <w:sz w:val="22"/>
          <w:szCs w:val="22"/>
        </w:rPr>
        <w:t xml:space="preserve">is designed for use alongside other AEC </w:t>
      </w:r>
      <w:r w:rsidR="003C17AC" w:rsidRPr="00F6492B">
        <w:rPr>
          <w:sz w:val="22"/>
          <w:szCs w:val="22"/>
        </w:rPr>
        <w:lastRenderedPageBreak/>
        <w:t>for Schools education resources such as Get Voting, which provide students a practical experience of voting in the classroom</w:t>
      </w:r>
      <w:r w:rsidR="00C13064" w:rsidRPr="00F6492B">
        <w:rPr>
          <w:sz w:val="22"/>
          <w:szCs w:val="22"/>
        </w:rPr>
        <w:t xml:space="preserve"> (AEC submission to JSCEM, 2024).</w:t>
      </w:r>
      <w:r w:rsidR="003C17AC" w:rsidRPr="00F6492B">
        <w:rPr>
          <w:sz w:val="22"/>
          <w:szCs w:val="22"/>
        </w:rPr>
        <w:t xml:space="preserve">  In 2024, the AEC is also partnering with the </w:t>
      </w:r>
      <w:r w:rsidR="002636E6" w:rsidRPr="00F6492B">
        <w:rPr>
          <w:sz w:val="22"/>
          <w:szCs w:val="22"/>
        </w:rPr>
        <w:t>National Capital Educational Tourism Project, Australian Parliament House, and the Museum of Australian Democracy</w:t>
      </w:r>
      <w:r w:rsidR="003C17AC" w:rsidRPr="00F6492B">
        <w:rPr>
          <w:sz w:val="22"/>
          <w:szCs w:val="22"/>
        </w:rPr>
        <w:t xml:space="preserve"> to deliver </w:t>
      </w:r>
      <w:r w:rsidR="002636E6" w:rsidRPr="00F6492B">
        <w:rPr>
          <w:sz w:val="22"/>
          <w:szCs w:val="22"/>
        </w:rPr>
        <w:t>civics and electoral education to students in the Northern Territory, in addition to teacher professional development. The program will be delivered in Alice Springs and Darwin over four days and is expected to reach approximately 220 students and 25 teachers</w:t>
      </w:r>
      <w:r w:rsidR="003C17AC" w:rsidRPr="00F6492B">
        <w:rPr>
          <w:sz w:val="22"/>
          <w:szCs w:val="22"/>
        </w:rPr>
        <w:t xml:space="preserve"> (AEC submission to JSCEM, 2024)</w:t>
      </w:r>
      <w:r w:rsidR="002636E6" w:rsidRPr="00F6492B">
        <w:rPr>
          <w:sz w:val="22"/>
          <w:szCs w:val="22"/>
        </w:rPr>
        <w:t xml:space="preserve">. </w:t>
      </w:r>
    </w:p>
    <w:p w14:paraId="421D26B6" w14:textId="79346E8E" w:rsidR="00EC28F0" w:rsidRPr="00F6492B" w:rsidRDefault="00EC28F0" w:rsidP="002D0CB1">
      <w:pPr>
        <w:spacing w:after="120" w:line="240" w:lineRule="auto"/>
        <w:jc w:val="both"/>
        <w:rPr>
          <w:rFonts w:ascii="Times New Roman" w:hAnsi="Times New Roman" w:cs="Times New Roman"/>
        </w:rPr>
      </w:pPr>
      <w:r w:rsidRPr="00F6492B">
        <w:rPr>
          <w:rFonts w:ascii="Times New Roman" w:hAnsi="Times New Roman" w:cs="Times New Roman"/>
        </w:rPr>
        <w:t xml:space="preserve">Every Australian parliament has </w:t>
      </w:r>
      <w:r w:rsidR="0056639A">
        <w:rPr>
          <w:rFonts w:ascii="Times New Roman" w:hAnsi="Times New Roman" w:cs="Times New Roman"/>
        </w:rPr>
        <w:t xml:space="preserve">also </w:t>
      </w:r>
      <w:r w:rsidRPr="00F6492B">
        <w:rPr>
          <w:rFonts w:ascii="Times New Roman" w:hAnsi="Times New Roman" w:cs="Times New Roman"/>
        </w:rPr>
        <w:t xml:space="preserve">established education and outreach offices or appointed appropriately qualified educators and outreach officers, tasked with developing suites of interactive educational materials about the history, functions and business of the parliament for a range of different audiences. These offices and officers are also regularly involved in designing and implementing outreach experiences and activities, including tours of parliament and visits by parliamentarians or parliamentary education office staff to regional locations.  For example, the Parliament of Australia has a Parliamentary Education Office (PEO) has developed </w:t>
      </w:r>
      <w:r w:rsidR="0056639A">
        <w:rPr>
          <w:rFonts w:ascii="Times New Roman" w:hAnsi="Times New Roman" w:cs="Times New Roman"/>
        </w:rPr>
        <w:t>:</w:t>
      </w:r>
      <w:r w:rsidRPr="00F6492B">
        <w:rPr>
          <w:rFonts w:ascii="Times New Roman" w:hAnsi="Times New Roman" w:cs="Times New Roman"/>
        </w:rPr>
        <w:t>digital programs</w:t>
      </w:r>
      <w:r w:rsidR="0056639A">
        <w:rPr>
          <w:rFonts w:ascii="Times New Roman" w:hAnsi="Times New Roman" w:cs="Times New Roman"/>
        </w:rPr>
        <w:t xml:space="preserve"> </w:t>
      </w:r>
      <w:r w:rsidRPr="00F6492B">
        <w:rPr>
          <w:rFonts w:ascii="Times New Roman" w:hAnsi="Times New Roman" w:cs="Times New Roman"/>
        </w:rPr>
        <w:t>accessible to regional and remote students; professional learning programs for teachers and preservice teachers; outreach programs that deliver on-site parliamentary education to students and teachers who are unable to travel to Canberra; a</w:t>
      </w:r>
      <w:r w:rsidR="0056639A">
        <w:rPr>
          <w:rFonts w:ascii="Times New Roman" w:hAnsi="Times New Roman" w:cs="Times New Roman"/>
        </w:rPr>
        <w:t>nd a</w:t>
      </w:r>
      <w:r w:rsidRPr="00F6492B">
        <w:rPr>
          <w:rFonts w:ascii="Times New Roman" w:hAnsi="Times New Roman" w:cs="Times New Roman"/>
        </w:rPr>
        <w:t xml:space="preserve"> website that provides curriculum-aligned resources (online and printable) about the Australian Parliament and Australia’s system of government, </w:t>
      </w:r>
      <w:r w:rsidRPr="00F6492B">
        <w:rPr>
          <w:rFonts w:ascii="Times New Roman" w:hAnsi="Times New Roman" w:cs="Times New Roman"/>
          <w:kern w:val="0"/>
        </w:rPr>
        <w:t>(</w:t>
      </w:r>
      <w:r w:rsidRPr="00F6492B">
        <w:rPr>
          <w:rFonts w:ascii="Times New Roman" w:hAnsi="Times New Roman" w:cs="Times New Roman"/>
        </w:rPr>
        <w:t>PEO Submission to JSCEM Inquiry 2024</w:t>
      </w:r>
      <w:r w:rsidRPr="00F6492B">
        <w:rPr>
          <w:rFonts w:ascii="Times New Roman" w:hAnsi="Times New Roman" w:cs="Times New Roman"/>
          <w:kern w:val="0"/>
        </w:rPr>
        <w:t>)</w:t>
      </w:r>
      <w:r w:rsidRPr="00F6492B">
        <w:rPr>
          <w:rFonts w:ascii="Times New Roman" w:hAnsi="Times New Roman" w:cs="Times New Roman"/>
        </w:rPr>
        <w:t xml:space="preserve">. </w:t>
      </w:r>
    </w:p>
    <w:p w14:paraId="7362DBD2" w14:textId="67D3022B" w:rsidR="00EC28F0" w:rsidRPr="00F6492B" w:rsidRDefault="00EC28F0" w:rsidP="002D0CB1">
      <w:pPr>
        <w:pStyle w:val="NormalWeb"/>
        <w:shd w:val="clear" w:color="auto" w:fill="FFFFFF"/>
        <w:spacing w:before="0" w:beforeAutospacing="0" w:after="120" w:afterAutospacing="0"/>
        <w:jc w:val="both"/>
        <w:textAlignment w:val="baseline"/>
        <w:rPr>
          <w:color w:val="000000"/>
          <w:sz w:val="22"/>
          <w:szCs w:val="22"/>
        </w:rPr>
      </w:pPr>
      <w:r w:rsidRPr="00F6492B">
        <w:rPr>
          <w:sz w:val="22"/>
          <w:szCs w:val="22"/>
        </w:rPr>
        <w:t>In South Australia, the</w:t>
      </w:r>
      <w:r w:rsidR="0056639A">
        <w:rPr>
          <w:sz w:val="22"/>
          <w:szCs w:val="22"/>
        </w:rPr>
        <w:t xml:space="preserve"> Parliament’s</w:t>
      </w:r>
      <w:r w:rsidRPr="00F6492B">
        <w:rPr>
          <w:sz w:val="22"/>
          <w:szCs w:val="22"/>
        </w:rPr>
        <w:t xml:space="preserve"> Education and Community Outreach Office delivers the ‘Civics in the City’ grants program (also supported by the South Australian Department for Education and the South Australian Commissioner for Children and Young People). Under this program, schools that are outside of public transport access to Parliament House can apply for financial support for a Parliament excursion. A similar</w:t>
      </w:r>
      <w:r w:rsidRPr="00F6492B">
        <w:rPr>
          <w:color w:val="000000"/>
          <w:sz w:val="22"/>
          <w:szCs w:val="22"/>
        </w:rPr>
        <w:t xml:space="preserve"> Regional Outreach Program exists in Western Australia and is one of a suite of educational programs delivered by the Parliament of Western Australia to develop student awareness of the role of the Western Australian Parliament and parliamentary processes.</w:t>
      </w:r>
    </w:p>
    <w:p w14:paraId="329800F9" w14:textId="1A8E3541" w:rsidR="00EC28F0" w:rsidRPr="00F6492B" w:rsidRDefault="00EC28F0" w:rsidP="002D0CB1">
      <w:pPr>
        <w:spacing w:after="120" w:line="240" w:lineRule="auto"/>
        <w:jc w:val="both"/>
        <w:rPr>
          <w:rFonts w:ascii="Times New Roman" w:hAnsi="Times New Roman" w:cs="Times New Roman"/>
        </w:rPr>
      </w:pPr>
      <w:r w:rsidRPr="00F6492B">
        <w:rPr>
          <w:rFonts w:ascii="Times New Roman" w:hAnsi="Times New Roman" w:cs="Times New Roman"/>
        </w:rPr>
        <w:t xml:space="preserve">Many </w:t>
      </w:r>
      <w:r w:rsidR="0056639A">
        <w:rPr>
          <w:rFonts w:ascii="Times New Roman" w:hAnsi="Times New Roman" w:cs="Times New Roman"/>
        </w:rPr>
        <w:t xml:space="preserve">Australian </w:t>
      </w:r>
      <w:r w:rsidRPr="00F6492B">
        <w:rPr>
          <w:rFonts w:ascii="Times New Roman" w:hAnsi="Times New Roman" w:cs="Times New Roman"/>
        </w:rPr>
        <w:t xml:space="preserve">Parliaments also host Youth Parliaments or Schools Conventions.  For example, the Parliament of NSW Education team hosts the NSW Schools Constitutional Convention each year, which a keynote and group discussions on the selected topic. At the conclusion of the day, delegates peer </w:t>
      </w:r>
      <w:proofErr w:type="gramStart"/>
      <w:r w:rsidRPr="00F6492B">
        <w:rPr>
          <w:rFonts w:ascii="Times New Roman" w:hAnsi="Times New Roman" w:cs="Times New Roman"/>
        </w:rPr>
        <w:t>select</w:t>
      </w:r>
      <w:proofErr w:type="gramEnd"/>
      <w:r w:rsidRPr="00F6492B">
        <w:rPr>
          <w:rFonts w:ascii="Times New Roman" w:hAnsi="Times New Roman" w:cs="Times New Roman"/>
        </w:rPr>
        <w:t xml:space="preserve"> 30 </w:t>
      </w:r>
      <w:r w:rsidR="0056639A">
        <w:rPr>
          <w:rFonts w:ascii="Times New Roman" w:hAnsi="Times New Roman" w:cs="Times New Roman"/>
        </w:rPr>
        <w:t>delegates to</w:t>
      </w:r>
      <w:r w:rsidRPr="00F6492B">
        <w:rPr>
          <w:rFonts w:ascii="Times New Roman" w:hAnsi="Times New Roman" w:cs="Times New Roman"/>
        </w:rPr>
        <w:t xml:space="preserve"> attend the National Constitutional Convention held in Canberra each year. </w:t>
      </w:r>
    </w:p>
    <w:p w14:paraId="0C6A29B3" w14:textId="5C9DC964" w:rsidR="00EC28F0" w:rsidRPr="00F6492B" w:rsidRDefault="00EC28F0" w:rsidP="002D0CB1">
      <w:pPr>
        <w:spacing w:after="120" w:line="240" w:lineRule="auto"/>
        <w:jc w:val="both"/>
        <w:rPr>
          <w:rFonts w:ascii="Times New Roman" w:hAnsi="Times New Roman" w:cs="Times New Roman"/>
        </w:rPr>
      </w:pPr>
      <w:r w:rsidRPr="00F6492B">
        <w:rPr>
          <w:rFonts w:ascii="Times New Roman" w:hAnsi="Times New Roman" w:cs="Times New Roman"/>
        </w:rPr>
        <w:t xml:space="preserve">The scope and focus of these activities and their intended audiences has changed in recent decades, with many parliaments actively seeking input from key stakeholders including </w:t>
      </w:r>
      <w:proofErr w:type="gramStart"/>
      <w:r w:rsidRPr="00F6492B">
        <w:rPr>
          <w:rFonts w:ascii="Times New Roman" w:hAnsi="Times New Roman" w:cs="Times New Roman"/>
        </w:rPr>
        <w:t>school teachers</w:t>
      </w:r>
      <w:proofErr w:type="gramEnd"/>
      <w:r w:rsidRPr="00F6492B">
        <w:rPr>
          <w:rFonts w:ascii="Times New Roman" w:hAnsi="Times New Roman" w:cs="Times New Roman"/>
        </w:rPr>
        <w:t xml:space="preserve">, curriculum designers, adult education institutions, First Nations communities and marginalised or minority community groups.  For example, the PEO is guided by an Advisory Committee, comprised of members and </w:t>
      </w:r>
      <w:proofErr w:type="gramStart"/>
      <w:r w:rsidRPr="00F6492B">
        <w:rPr>
          <w:rFonts w:ascii="Times New Roman" w:hAnsi="Times New Roman" w:cs="Times New Roman"/>
        </w:rPr>
        <w:t>senators</w:t>
      </w:r>
      <w:proofErr w:type="gramEnd"/>
      <w:r w:rsidRPr="00F6492B">
        <w:rPr>
          <w:rFonts w:ascii="Times New Roman" w:hAnsi="Times New Roman" w:cs="Times New Roman"/>
        </w:rPr>
        <w:t xml:space="preserve"> and jointly chaired by the Deputy Speaker and Deputy President, which contributes to the strategic oversight of the PEO </w:t>
      </w:r>
      <w:r w:rsidRPr="00F6492B">
        <w:rPr>
          <w:rFonts w:ascii="Times New Roman" w:hAnsi="Times New Roman" w:cs="Times New Roman"/>
          <w:kern w:val="0"/>
        </w:rPr>
        <w:t>(</w:t>
      </w:r>
      <w:r w:rsidRPr="00F6492B">
        <w:rPr>
          <w:rFonts w:ascii="Times New Roman" w:hAnsi="Times New Roman" w:cs="Times New Roman"/>
        </w:rPr>
        <w:t>PEO Submission to JSCEM Inquiry 2024</w:t>
      </w:r>
      <w:r w:rsidRPr="00F6492B">
        <w:rPr>
          <w:rFonts w:ascii="Times New Roman" w:hAnsi="Times New Roman" w:cs="Times New Roman"/>
          <w:kern w:val="0"/>
        </w:rPr>
        <w:t>)</w:t>
      </w:r>
      <w:r w:rsidRPr="00F6492B">
        <w:rPr>
          <w:rFonts w:ascii="Times New Roman" w:hAnsi="Times New Roman" w:cs="Times New Roman"/>
        </w:rPr>
        <w:t xml:space="preserve">. </w:t>
      </w:r>
    </w:p>
    <w:p w14:paraId="5FCE7850" w14:textId="77777777" w:rsidR="00EC28F0" w:rsidRPr="00F6492B" w:rsidRDefault="00EC28F0" w:rsidP="002D0CB1">
      <w:pPr>
        <w:spacing w:after="120" w:line="240" w:lineRule="auto"/>
        <w:jc w:val="both"/>
        <w:rPr>
          <w:rFonts w:ascii="Times New Roman" w:hAnsi="Times New Roman" w:cs="Times New Roman"/>
          <w:kern w:val="0"/>
        </w:rPr>
      </w:pPr>
      <w:r w:rsidRPr="00F6492B">
        <w:rPr>
          <w:rFonts w:ascii="Times New Roman" w:hAnsi="Times New Roman" w:cs="Times New Roman"/>
        </w:rPr>
        <w:t xml:space="preserve">Explicit efforts to measure or report on the effectiveness of parliamentary education and outreach programs have also become more common, with indicators of success often focused on increasing the rate and diversity of participation.  For example, the South Australian Parliament has reported that in 2024, 29 schools received financial support to visit Parliament House under Civics in the City. Of the 29 schools, 27 of them were over 100km away from Parliament House, including four over 400km away </w:t>
      </w:r>
      <w:r w:rsidRPr="00F6492B">
        <w:rPr>
          <w:rFonts w:ascii="Times New Roman" w:hAnsi="Times New Roman" w:cs="Times New Roman"/>
          <w:kern w:val="0"/>
        </w:rPr>
        <w:t>(</w:t>
      </w:r>
      <w:r w:rsidRPr="00F6492B">
        <w:rPr>
          <w:rFonts w:ascii="Times New Roman" w:hAnsi="Times New Roman" w:cs="Times New Roman"/>
        </w:rPr>
        <w:t>Parliament of South Australia, Submission to JSCEM Inquiry 2024</w:t>
      </w:r>
      <w:r w:rsidRPr="00F6492B">
        <w:rPr>
          <w:rFonts w:ascii="Times New Roman" w:hAnsi="Times New Roman" w:cs="Times New Roman"/>
          <w:kern w:val="0"/>
        </w:rPr>
        <w:t>).</w:t>
      </w:r>
      <w:r w:rsidRPr="00F6492B">
        <w:rPr>
          <w:rFonts w:ascii="Times New Roman" w:hAnsi="Times New Roman" w:cs="Times New Roman"/>
        </w:rPr>
        <w:t xml:space="preserve"> The Australia Parliament’ PEO has reported that </w:t>
      </w:r>
      <w:r w:rsidRPr="00F6492B">
        <w:rPr>
          <w:rFonts w:ascii="Times New Roman" w:hAnsi="Times New Roman" w:cs="Times New Roman"/>
          <w:kern w:val="0"/>
        </w:rPr>
        <w:t>in 2022–23, 1.4 million people used its website, with 3.4 million unique page views (</w:t>
      </w:r>
      <w:r w:rsidRPr="00F6492B">
        <w:rPr>
          <w:rFonts w:ascii="Times New Roman" w:hAnsi="Times New Roman" w:cs="Times New Roman"/>
        </w:rPr>
        <w:t>PEO Submission to JSCEM Inquiry 2024</w:t>
      </w:r>
      <w:r w:rsidRPr="00F6492B">
        <w:rPr>
          <w:rFonts w:ascii="Times New Roman" w:hAnsi="Times New Roman" w:cs="Times New Roman"/>
          <w:kern w:val="0"/>
        </w:rPr>
        <w:t>).</w:t>
      </w:r>
    </w:p>
    <w:p w14:paraId="2B213D46" w14:textId="77777777" w:rsidR="00360855" w:rsidRDefault="003A6644" w:rsidP="002D0CB1">
      <w:pPr>
        <w:autoSpaceDE w:val="0"/>
        <w:autoSpaceDN w:val="0"/>
        <w:adjustRightInd w:val="0"/>
        <w:spacing w:after="120" w:line="240" w:lineRule="auto"/>
        <w:jc w:val="both"/>
        <w:rPr>
          <w:rFonts w:ascii="Times New Roman" w:hAnsi="Times New Roman" w:cs="Times New Roman"/>
          <w:color w:val="000000"/>
          <w:kern w:val="0"/>
        </w:rPr>
      </w:pPr>
      <w:r w:rsidRPr="00F6492B">
        <w:rPr>
          <w:rFonts w:ascii="Times New Roman" w:hAnsi="Times New Roman" w:cs="Times New Roman"/>
          <w:kern w:val="0"/>
        </w:rPr>
        <w:t xml:space="preserve">Other initiatives designed to ensure traditionally marginalised groups have access to high quality civics education include the work of the </w:t>
      </w:r>
      <w:r w:rsidR="00C13064" w:rsidRPr="002823E5">
        <w:rPr>
          <w:rFonts w:ascii="Times New Roman" w:hAnsi="Times New Roman" w:cs="Times New Roman"/>
          <w:kern w:val="0"/>
        </w:rPr>
        <w:t>Michael Long Learning and Leadership Centre</w:t>
      </w:r>
      <w:r w:rsidR="00C13064" w:rsidRPr="00F6492B">
        <w:rPr>
          <w:rFonts w:ascii="Times New Roman" w:hAnsi="Times New Roman" w:cs="Times New Roman"/>
          <w:b/>
          <w:bCs/>
          <w:kern w:val="0"/>
        </w:rPr>
        <w:t xml:space="preserve"> </w:t>
      </w:r>
      <w:r w:rsidR="00C13064" w:rsidRPr="00F6492B">
        <w:rPr>
          <w:rFonts w:ascii="Times New Roman" w:hAnsi="Times New Roman" w:cs="Times New Roman"/>
          <w:kern w:val="0"/>
        </w:rPr>
        <w:t>(MLLLC) in Darwin</w:t>
      </w:r>
      <w:r w:rsidRPr="00F6492B">
        <w:rPr>
          <w:rFonts w:ascii="Times New Roman" w:hAnsi="Times New Roman" w:cs="Times New Roman"/>
          <w:kern w:val="0"/>
        </w:rPr>
        <w:t xml:space="preserve">, which </w:t>
      </w:r>
      <w:r w:rsidR="0074166F" w:rsidRPr="00F6492B">
        <w:rPr>
          <w:rFonts w:ascii="Times New Roman" w:hAnsi="Times New Roman" w:cs="Times New Roman"/>
          <w:kern w:val="0"/>
        </w:rPr>
        <w:t>aims to ‘</w:t>
      </w:r>
      <w:r w:rsidR="00C13064" w:rsidRPr="00F6492B">
        <w:rPr>
          <w:rFonts w:ascii="Times New Roman" w:hAnsi="Times New Roman" w:cs="Times New Roman"/>
          <w:kern w:val="0"/>
        </w:rPr>
        <w:t>harness the power of AFL football in the NT to give young</w:t>
      </w:r>
      <w:r w:rsidR="0074166F" w:rsidRPr="00F6492B">
        <w:rPr>
          <w:rFonts w:ascii="Times New Roman" w:hAnsi="Times New Roman" w:cs="Times New Roman"/>
          <w:kern w:val="0"/>
        </w:rPr>
        <w:t xml:space="preserve"> </w:t>
      </w:r>
      <w:r w:rsidR="00C13064" w:rsidRPr="00F6492B">
        <w:rPr>
          <w:rFonts w:ascii="Times New Roman" w:hAnsi="Times New Roman" w:cs="Times New Roman"/>
          <w:kern w:val="0"/>
        </w:rPr>
        <w:t>Indigenous Territorians the same opportunities as all Australians</w:t>
      </w:r>
      <w:r w:rsidR="0074166F" w:rsidRPr="00F6492B">
        <w:rPr>
          <w:rFonts w:ascii="Times New Roman" w:hAnsi="Times New Roman" w:cs="Times New Roman"/>
          <w:kern w:val="0"/>
        </w:rPr>
        <w:t>’</w:t>
      </w:r>
      <w:r w:rsidR="00F6492B" w:rsidRPr="00F6492B">
        <w:rPr>
          <w:rFonts w:ascii="Times New Roman" w:hAnsi="Times New Roman" w:cs="Times New Roman"/>
          <w:kern w:val="0"/>
        </w:rPr>
        <w:t xml:space="preserve"> (&lt;https://www.michaellongfoundation.org.au/&gt;)</w:t>
      </w:r>
      <w:r w:rsidR="00C13064" w:rsidRPr="00F6492B">
        <w:rPr>
          <w:rFonts w:ascii="Times New Roman" w:hAnsi="Times New Roman" w:cs="Times New Roman"/>
          <w:kern w:val="0"/>
        </w:rPr>
        <w:t>. Student groups from the MLLLC visit Parliament House almost every week of</w:t>
      </w:r>
      <w:r w:rsidR="00A33CBA" w:rsidRPr="00F6492B">
        <w:rPr>
          <w:rFonts w:ascii="Times New Roman" w:hAnsi="Times New Roman" w:cs="Times New Roman"/>
          <w:kern w:val="0"/>
        </w:rPr>
        <w:t xml:space="preserve"> </w:t>
      </w:r>
      <w:r w:rsidR="00C13064" w:rsidRPr="00F6492B">
        <w:rPr>
          <w:rFonts w:ascii="Times New Roman" w:hAnsi="Times New Roman" w:cs="Times New Roman"/>
          <w:kern w:val="0"/>
        </w:rPr>
        <w:t>the school term across the year</w:t>
      </w:r>
      <w:r w:rsidR="00A33CBA" w:rsidRPr="00F6492B">
        <w:rPr>
          <w:rFonts w:ascii="Times New Roman" w:hAnsi="Times New Roman" w:cs="Times New Roman"/>
          <w:kern w:val="0"/>
        </w:rPr>
        <w:t xml:space="preserve"> </w:t>
      </w:r>
      <w:r w:rsidR="00C13064" w:rsidRPr="00F6492B">
        <w:rPr>
          <w:rFonts w:ascii="Times New Roman" w:hAnsi="Times New Roman" w:cs="Times New Roman"/>
          <w:kern w:val="0"/>
        </w:rPr>
        <w:t xml:space="preserve">to watch parliament </w:t>
      </w:r>
      <w:r w:rsidR="00C13064" w:rsidRPr="00F6492B">
        <w:rPr>
          <w:rFonts w:ascii="Times New Roman" w:hAnsi="Times New Roman" w:cs="Times New Roman"/>
          <w:kern w:val="0"/>
        </w:rPr>
        <w:lastRenderedPageBreak/>
        <w:t>in action and to meet their local Member of the Legislative</w:t>
      </w:r>
      <w:r w:rsidR="00F6492B" w:rsidRPr="00F6492B">
        <w:rPr>
          <w:rFonts w:ascii="Times New Roman" w:hAnsi="Times New Roman" w:cs="Times New Roman"/>
          <w:kern w:val="0"/>
        </w:rPr>
        <w:t xml:space="preserve"> </w:t>
      </w:r>
      <w:r w:rsidR="00C13064" w:rsidRPr="00F6492B">
        <w:rPr>
          <w:rFonts w:ascii="Times New Roman" w:hAnsi="Times New Roman" w:cs="Times New Roman"/>
          <w:kern w:val="0"/>
        </w:rPr>
        <w:t xml:space="preserve">Assembly. </w:t>
      </w:r>
      <w:r w:rsidR="00C13064" w:rsidRPr="00F6492B">
        <w:rPr>
          <w:rFonts w:ascii="Times New Roman" w:hAnsi="Times New Roman" w:cs="Times New Roman"/>
          <w:color w:val="000000"/>
          <w:kern w:val="0"/>
        </w:rPr>
        <w:t>Groups are accompanied by an MLLLC staff member, and a teacher from the students’ home</w:t>
      </w:r>
      <w:r w:rsidR="00F6492B" w:rsidRPr="00F6492B">
        <w:rPr>
          <w:rFonts w:ascii="Times New Roman" w:hAnsi="Times New Roman" w:cs="Times New Roman"/>
          <w:color w:val="000000"/>
          <w:kern w:val="0"/>
        </w:rPr>
        <w:t xml:space="preserve"> </w:t>
      </w:r>
      <w:r w:rsidR="00C13064" w:rsidRPr="00F6492B">
        <w:rPr>
          <w:rFonts w:ascii="Times New Roman" w:hAnsi="Times New Roman" w:cs="Times New Roman"/>
          <w:color w:val="000000"/>
          <w:kern w:val="0"/>
        </w:rPr>
        <w:t>community</w:t>
      </w:r>
      <w:r w:rsidR="00F6492B" w:rsidRPr="00F6492B">
        <w:rPr>
          <w:rFonts w:ascii="Times New Roman" w:hAnsi="Times New Roman" w:cs="Times New Roman"/>
          <w:color w:val="000000"/>
          <w:kern w:val="0"/>
        </w:rPr>
        <w:t>, providing an opportunity for both student engagement with parliament and teacher professional development.</w:t>
      </w:r>
      <w:r w:rsidR="00C13064" w:rsidRPr="00F6492B">
        <w:rPr>
          <w:rFonts w:ascii="Times New Roman" w:hAnsi="Times New Roman" w:cs="Times New Roman"/>
          <w:color w:val="000000"/>
          <w:kern w:val="0"/>
        </w:rPr>
        <w:t xml:space="preserve"> </w:t>
      </w:r>
    </w:p>
    <w:p w14:paraId="0539FEF3" w14:textId="5AD7FD67" w:rsidR="00F6492B" w:rsidRPr="00F6492B" w:rsidRDefault="00EC28F0" w:rsidP="002D0CB1">
      <w:pPr>
        <w:autoSpaceDE w:val="0"/>
        <w:autoSpaceDN w:val="0"/>
        <w:adjustRightInd w:val="0"/>
        <w:spacing w:after="120" w:line="240" w:lineRule="auto"/>
        <w:jc w:val="both"/>
        <w:rPr>
          <w:rFonts w:ascii="Times New Roman" w:hAnsi="Times New Roman" w:cs="Times New Roman"/>
          <w:bCs/>
          <w:iCs/>
        </w:rPr>
      </w:pPr>
      <w:r w:rsidRPr="00F6492B">
        <w:rPr>
          <w:rFonts w:ascii="Times New Roman" w:hAnsi="Times New Roman" w:cs="Times New Roman"/>
          <w:kern w:val="0"/>
        </w:rPr>
        <w:t xml:space="preserve">These education and outreach activities align closely with the first three elements of the ‘public engagement journey’ described by Leston-Bandeira above: </w:t>
      </w:r>
      <w:r w:rsidRPr="00F6492B">
        <w:rPr>
          <w:rFonts w:ascii="Times New Roman" w:hAnsi="Times New Roman" w:cs="Times New Roman"/>
        </w:rPr>
        <w:t xml:space="preserve">information, understanding and identification.  Some also have features that assist </w:t>
      </w:r>
      <w:r w:rsidRPr="00F6492B">
        <w:rPr>
          <w:rFonts w:ascii="Times New Roman" w:hAnsi="Times New Roman" w:cs="Times New Roman"/>
          <w:bCs/>
        </w:rPr>
        <w:t xml:space="preserve">the </w:t>
      </w:r>
      <w:proofErr w:type="gramStart"/>
      <w:r w:rsidRPr="00F6492B">
        <w:rPr>
          <w:rFonts w:ascii="Times New Roman" w:hAnsi="Times New Roman" w:cs="Times New Roman"/>
          <w:bCs/>
          <w:i/>
          <w:iCs/>
        </w:rPr>
        <w:t>identification</w:t>
      </w:r>
      <w:r w:rsidRPr="00F6492B">
        <w:rPr>
          <w:rFonts w:ascii="Times New Roman" w:hAnsi="Times New Roman" w:cs="Times New Roman"/>
          <w:bCs/>
        </w:rPr>
        <w:t>  by</w:t>
      </w:r>
      <w:proofErr w:type="gramEnd"/>
      <w:r w:rsidRPr="00F6492B">
        <w:rPr>
          <w:rFonts w:ascii="Times New Roman" w:hAnsi="Times New Roman" w:cs="Times New Roman"/>
          <w:bCs/>
        </w:rPr>
        <w:t xml:space="preserve"> citizens of the relevance of the parliament to their own lives and experiences, which can in turn lead to </w:t>
      </w:r>
      <w:r w:rsidRPr="00F6492B">
        <w:rPr>
          <w:rFonts w:ascii="Times New Roman" w:hAnsi="Times New Roman" w:cs="Times New Roman"/>
          <w:bCs/>
          <w:i/>
          <w:iCs/>
        </w:rPr>
        <w:t xml:space="preserve">participation </w:t>
      </w:r>
      <w:r w:rsidRPr="00F6492B">
        <w:rPr>
          <w:rFonts w:ascii="Times New Roman" w:hAnsi="Times New Roman" w:cs="Times New Roman"/>
          <w:bCs/>
          <w:iCs/>
        </w:rPr>
        <w:t>in the business of parliament.</w:t>
      </w:r>
    </w:p>
    <w:p w14:paraId="578CED76" w14:textId="600BB6B1" w:rsidR="00EC28F0" w:rsidRDefault="0056639A" w:rsidP="002D0CB1">
      <w:pPr>
        <w:spacing w:after="120" w:line="240" w:lineRule="auto"/>
        <w:jc w:val="both"/>
        <w:rPr>
          <w:rFonts w:ascii="Times New Roman" w:hAnsi="Times New Roman" w:cs="Times New Roman"/>
          <w:kern w:val="0"/>
        </w:rPr>
      </w:pPr>
      <w:r>
        <w:rPr>
          <w:rFonts w:ascii="Times New Roman" w:hAnsi="Times New Roman" w:cs="Times New Roman"/>
        </w:rPr>
        <w:t>However, a</w:t>
      </w:r>
      <w:r w:rsidR="00EC28F0" w:rsidRPr="00F6492B">
        <w:rPr>
          <w:rFonts w:ascii="Times New Roman" w:hAnsi="Times New Roman" w:cs="Times New Roman"/>
        </w:rPr>
        <w:t xml:space="preserve">s discussed further below, unless </w:t>
      </w:r>
      <w:r w:rsidR="00EC28F0" w:rsidRPr="00F6492B">
        <w:rPr>
          <w:rFonts w:ascii="Times New Roman" w:hAnsi="Times New Roman" w:cs="Times New Roman"/>
          <w:kern w:val="0"/>
        </w:rPr>
        <w:t xml:space="preserve">education and outreach activities form part of a broader, </w:t>
      </w:r>
      <w:proofErr w:type="gramStart"/>
      <w:r w:rsidR="00EC28F0" w:rsidRPr="00F6492B">
        <w:rPr>
          <w:rFonts w:ascii="Times New Roman" w:hAnsi="Times New Roman" w:cs="Times New Roman"/>
          <w:kern w:val="0"/>
        </w:rPr>
        <w:t>strategic</w:t>
      </w:r>
      <w:proofErr w:type="gramEnd"/>
      <w:r w:rsidR="00EC28F0" w:rsidRPr="00F6492B">
        <w:rPr>
          <w:rFonts w:ascii="Times New Roman" w:hAnsi="Times New Roman" w:cs="Times New Roman"/>
          <w:kern w:val="0"/>
        </w:rPr>
        <w:t xml:space="preserve"> and </w:t>
      </w:r>
      <w:r w:rsidR="00EC28F0" w:rsidRPr="00F6492B">
        <w:rPr>
          <w:rFonts w:ascii="Times New Roman" w:hAnsi="Times New Roman" w:cs="Times New Roman"/>
          <w:i/>
          <w:iCs/>
          <w:kern w:val="0"/>
        </w:rPr>
        <w:t xml:space="preserve">systematic </w:t>
      </w:r>
      <w:r w:rsidR="00EC28F0" w:rsidRPr="00F6492B">
        <w:rPr>
          <w:rFonts w:ascii="Times New Roman" w:hAnsi="Times New Roman" w:cs="Times New Roman"/>
          <w:kern w:val="0"/>
        </w:rPr>
        <w:t>approach to parliamentary engagement, there is a risk that their overall effectiveness could be undermined or underestimated. Without a broader institutional view of their impact, there is also the risk that these programs</w:t>
      </w:r>
      <w:r w:rsidR="005A43E1">
        <w:rPr>
          <w:rFonts w:ascii="Times New Roman" w:hAnsi="Times New Roman" w:cs="Times New Roman"/>
          <w:kern w:val="0"/>
        </w:rPr>
        <w:t xml:space="preserve"> </w:t>
      </w:r>
      <w:r w:rsidR="004542DD">
        <w:rPr>
          <w:rFonts w:ascii="Times New Roman" w:hAnsi="Times New Roman" w:cs="Times New Roman"/>
          <w:kern w:val="0"/>
        </w:rPr>
        <w:t xml:space="preserve">and activities </w:t>
      </w:r>
      <w:r w:rsidR="00EC28F0" w:rsidRPr="00F6492B">
        <w:rPr>
          <w:rFonts w:ascii="Times New Roman" w:hAnsi="Times New Roman" w:cs="Times New Roman"/>
          <w:kern w:val="0"/>
        </w:rPr>
        <w:t xml:space="preserve">will miss out on the investments required to secure their sustainability and improve their capacity to </w:t>
      </w:r>
      <w:r w:rsidR="00B241A6">
        <w:rPr>
          <w:rFonts w:ascii="Times New Roman" w:hAnsi="Times New Roman" w:cs="Times New Roman"/>
          <w:kern w:val="0"/>
        </w:rPr>
        <w:t>build intergenerational resilience through the sharing of knowledge between generations</w:t>
      </w:r>
      <w:r w:rsidR="004542DD">
        <w:rPr>
          <w:rFonts w:ascii="Times New Roman" w:hAnsi="Times New Roman" w:cs="Times New Roman"/>
          <w:kern w:val="0"/>
        </w:rPr>
        <w:t xml:space="preserve">.  As discussed further below, I argue that by reconceptualising what counts as youth-led democratic engagement, we can re-imagine these </w:t>
      </w:r>
      <w:r w:rsidR="009A10AB">
        <w:rPr>
          <w:rFonts w:ascii="Times New Roman" w:hAnsi="Times New Roman" w:cs="Times New Roman"/>
          <w:kern w:val="0"/>
        </w:rPr>
        <w:t xml:space="preserve">already high-impact programs and activities in a way that empowers young people to </w:t>
      </w:r>
      <w:r w:rsidR="00D03094">
        <w:rPr>
          <w:rFonts w:ascii="Times New Roman" w:hAnsi="Times New Roman" w:cs="Times New Roman"/>
          <w:kern w:val="0"/>
        </w:rPr>
        <w:t xml:space="preserve">exercise more control over their </w:t>
      </w:r>
      <w:proofErr w:type="gramStart"/>
      <w:r w:rsidR="00D03094">
        <w:rPr>
          <w:rFonts w:ascii="Times New Roman" w:hAnsi="Times New Roman" w:cs="Times New Roman"/>
          <w:kern w:val="0"/>
        </w:rPr>
        <w:t>experiences, and</w:t>
      </w:r>
      <w:proofErr w:type="gramEnd"/>
      <w:r w:rsidR="00D03094">
        <w:rPr>
          <w:rFonts w:ascii="Times New Roman" w:hAnsi="Times New Roman" w:cs="Times New Roman"/>
          <w:kern w:val="0"/>
        </w:rPr>
        <w:t xml:space="preserve"> </w:t>
      </w:r>
      <w:r w:rsidR="00F7590E">
        <w:rPr>
          <w:rFonts w:ascii="Times New Roman" w:hAnsi="Times New Roman" w:cs="Times New Roman"/>
          <w:kern w:val="0"/>
        </w:rPr>
        <w:t>incentivises adults and older people to position themselves as learners as well as teachers.</w:t>
      </w:r>
    </w:p>
    <w:p w14:paraId="45394851" w14:textId="11B989F9" w:rsidR="004E56E2" w:rsidRPr="009D320B" w:rsidRDefault="008C5F59" w:rsidP="002376DE">
      <w:pPr>
        <w:pStyle w:val="Heading3"/>
      </w:pPr>
      <w:r w:rsidRPr="009D320B">
        <w:t>Participatory Approaches to Integrating Youth Voice in Government Decision Making</w:t>
      </w:r>
    </w:p>
    <w:p w14:paraId="773FEE72" w14:textId="08262EBA" w:rsidR="00844CC8" w:rsidRPr="00844CC8" w:rsidRDefault="005515CD" w:rsidP="002D0CB1">
      <w:pPr>
        <w:spacing w:after="120" w:line="240" w:lineRule="auto"/>
        <w:jc w:val="both"/>
        <w:rPr>
          <w:rFonts w:ascii="Times New Roman" w:eastAsia="Times New Roman" w:hAnsi="Times New Roman" w:cs="Times New Roman"/>
          <w:kern w:val="0"/>
          <w:lang w:eastAsia="en-AU"/>
          <w14:ligatures w14:val="none"/>
        </w:rPr>
      </w:pPr>
      <w:r w:rsidRPr="009D320B">
        <w:rPr>
          <w:rFonts w:ascii="Times New Roman" w:hAnsi="Times New Roman" w:cs="Times New Roman"/>
        </w:rPr>
        <w:t xml:space="preserve">In Australia, participatory approaches to integrating youth voice in government decision-making have become increasingly prominent, reflecting a commitment to involving young people in shaping policies that affect their lives. </w:t>
      </w:r>
      <w:r w:rsidR="00CD6AA3" w:rsidRPr="009D320B">
        <w:rPr>
          <w:rFonts w:ascii="Times New Roman" w:hAnsi="Times New Roman" w:cs="Times New Roman"/>
        </w:rPr>
        <w:t>For example, v</w:t>
      </w:r>
      <w:r w:rsidRPr="009D320B">
        <w:rPr>
          <w:rFonts w:ascii="Times New Roman" w:hAnsi="Times New Roman" w:cs="Times New Roman"/>
        </w:rPr>
        <w:t xml:space="preserve">arious local and state governments in Australia have established Youth Advisory Councils (YACs) to provide a platform for young people to offer input on policy and community issues. These councils, such as the Victorian Youth Advisory Council, enable young individuals to </w:t>
      </w:r>
      <w:r w:rsidR="00811A9B" w:rsidRPr="009D320B">
        <w:rPr>
          <w:rFonts w:ascii="Times New Roman" w:hAnsi="Times New Roman" w:cs="Times New Roman"/>
        </w:rPr>
        <w:t xml:space="preserve">provide government ministers and senior department officials with feedback on policy proposals relating to </w:t>
      </w:r>
      <w:r w:rsidRPr="009D320B">
        <w:rPr>
          <w:rFonts w:ascii="Times New Roman" w:hAnsi="Times New Roman" w:cs="Times New Roman"/>
        </w:rPr>
        <w:t xml:space="preserve">education, mental health, and employment (Victorian Government, 2023). </w:t>
      </w:r>
      <w:r w:rsidR="00895625" w:rsidRPr="009D320B">
        <w:rPr>
          <w:rFonts w:ascii="Times New Roman" w:hAnsi="Times New Roman" w:cs="Times New Roman"/>
        </w:rPr>
        <w:t xml:space="preserve">The Australian Government's Office for Youth </w:t>
      </w:r>
      <w:r w:rsidR="00997AF0" w:rsidRPr="009D320B">
        <w:rPr>
          <w:rFonts w:ascii="Times New Roman" w:hAnsi="Times New Roman" w:cs="Times New Roman"/>
        </w:rPr>
        <w:t>is a government agency</w:t>
      </w:r>
      <w:r w:rsidR="00895625" w:rsidRPr="009D320B">
        <w:rPr>
          <w:rFonts w:ascii="Times New Roman" w:hAnsi="Times New Roman" w:cs="Times New Roman"/>
        </w:rPr>
        <w:t xml:space="preserve"> dedicated to supporting and addressing the needs of young Australians. Operating within the Department of Social Services, the office focuses on policies and programs that promote the well-being and development of youth across the nation</w:t>
      </w:r>
      <w:r w:rsidR="00997AF0" w:rsidRPr="009D320B">
        <w:rPr>
          <w:rFonts w:ascii="Times New Roman" w:hAnsi="Times New Roman" w:cs="Times New Roman"/>
        </w:rPr>
        <w:t xml:space="preserve">. </w:t>
      </w:r>
      <w:r w:rsidR="00F2104F" w:rsidRPr="009D320B">
        <w:rPr>
          <w:rFonts w:ascii="Times New Roman" w:hAnsi="Times New Roman" w:cs="Times New Roman"/>
        </w:rPr>
        <w:t>In March 2024</w:t>
      </w:r>
      <w:r w:rsidR="00A75829" w:rsidRPr="009D320B">
        <w:rPr>
          <w:rFonts w:ascii="Times New Roman" w:hAnsi="Times New Roman" w:cs="Times New Roman"/>
        </w:rPr>
        <w:t xml:space="preserve">, </w:t>
      </w:r>
      <w:r w:rsidR="009D320B" w:rsidRPr="009D320B">
        <w:rPr>
          <w:rFonts w:ascii="Times New Roman" w:hAnsi="Times New Roman" w:cs="Times New Roman"/>
        </w:rPr>
        <w:t>following</w:t>
      </w:r>
      <w:r w:rsidR="00A75829" w:rsidRPr="009D320B">
        <w:rPr>
          <w:rFonts w:ascii="Times New Roman" w:hAnsi="Times New Roman" w:cs="Times New Roman"/>
        </w:rPr>
        <w:t xml:space="preserve"> a consultation process that involved collecting the views of over 4,600 young people</w:t>
      </w:r>
      <w:r w:rsidR="006320F6" w:rsidRPr="009D320B">
        <w:rPr>
          <w:rFonts w:ascii="Times New Roman" w:hAnsi="Times New Roman" w:cs="Times New Roman"/>
        </w:rPr>
        <w:t xml:space="preserve"> (p. 3)</w:t>
      </w:r>
      <w:r w:rsidR="00A75829" w:rsidRPr="009D320B">
        <w:rPr>
          <w:rFonts w:ascii="Times New Roman" w:hAnsi="Times New Roman" w:cs="Times New Roman"/>
        </w:rPr>
        <w:t xml:space="preserve">, </w:t>
      </w:r>
      <w:r w:rsidR="00F2104F" w:rsidRPr="009D320B">
        <w:rPr>
          <w:rFonts w:ascii="Times New Roman" w:hAnsi="Times New Roman" w:cs="Times New Roman"/>
        </w:rPr>
        <w:t>the Office for Youth launched a new youth engagement strategy, entitled ‘</w:t>
      </w:r>
      <w:r w:rsidR="00844CC8" w:rsidRPr="00844CC8">
        <w:rPr>
          <w:rFonts w:ascii="Times New Roman" w:eastAsia="Times New Roman" w:hAnsi="Times New Roman" w:cs="Times New Roman"/>
          <w:i/>
          <w:iCs/>
          <w:kern w:val="0"/>
          <w:lang w:eastAsia="en-AU"/>
          <w14:ligatures w14:val="none"/>
        </w:rPr>
        <w:t>Engage! A strategy to include young people in the decisions we make</w:t>
      </w:r>
      <w:r w:rsidR="00F2104F" w:rsidRPr="009D320B">
        <w:rPr>
          <w:rFonts w:ascii="Times New Roman" w:eastAsia="Times New Roman" w:hAnsi="Times New Roman" w:cs="Times New Roman"/>
          <w:i/>
          <w:iCs/>
          <w:kern w:val="0"/>
          <w:lang w:eastAsia="en-AU"/>
          <w14:ligatures w14:val="none"/>
        </w:rPr>
        <w:t xml:space="preserve">’ </w:t>
      </w:r>
      <w:r w:rsidR="00F2104F" w:rsidRPr="009D320B">
        <w:rPr>
          <w:rFonts w:ascii="Times New Roman" w:eastAsia="Times New Roman" w:hAnsi="Times New Roman" w:cs="Times New Roman"/>
          <w:kern w:val="0"/>
          <w:lang w:eastAsia="en-AU"/>
          <w14:ligatures w14:val="none"/>
        </w:rPr>
        <w:t xml:space="preserve">that centres on </w:t>
      </w:r>
      <w:r w:rsidR="00844CC8" w:rsidRPr="00844CC8">
        <w:rPr>
          <w:rFonts w:ascii="Times New Roman" w:eastAsia="Times New Roman" w:hAnsi="Times New Roman" w:cs="Times New Roman"/>
          <w:kern w:val="0"/>
          <w:lang w:eastAsia="en-AU"/>
          <w14:ligatures w14:val="none"/>
        </w:rPr>
        <w:t>  three priority areas for youth engagement with government:</w:t>
      </w:r>
    </w:p>
    <w:p w14:paraId="6AAB779C" w14:textId="77777777" w:rsidR="00844CC8" w:rsidRPr="00844CC8" w:rsidRDefault="00844CC8" w:rsidP="002D0CB1">
      <w:pPr>
        <w:pStyle w:val="Quote"/>
        <w:spacing w:after="120"/>
        <w:rPr>
          <w:lang w:eastAsia="en-AU"/>
        </w:rPr>
      </w:pPr>
      <w:r w:rsidRPr="00844CC8">
        <w:rPr>
          <w:lang w:eastAsia="en-AU"/>
        </w:rPr>
        <w:t xml:space="preserve">We will </w:t>
      </w:r>
      <w:proofErr w:type="spellStart"/>
      <w:r w:rsidRPr="00844CC8">
        <w:rPr>
          <w:lang w:eastAsia="en-AU"/>
        </w:rPr>
        <w:t>recognise</w:t>
      </w:r>
      <w:proofErr w:type="spellEnd"/>
      <w:r w:rsidRPr="00844CC8">
        <w:rPr>
          <w:lang w:eastAsia="en-AU"/>
        </w:rPr>
        <w:t xml:space="preserve"> and listen to young people.</w:t>
      </w:r>
    </w:p>
    <w:p w14:paraId="4F18809A" w14:textId="77777777" w:rsidR="00844CC8" w:rsidRPr="00844CC8" w:rsidRDefault="00844CC8" w:rsidP="002D0CB1">
      <w:pPr>
        <w:pStyle w:val="Quote"/>
        <w:spacing w:after="120"/>
        <w:rPr>
          <w:lang w:eastAsia="en-AU"/>
        </w:rPr>
      </w:pPr>
      <w:r w:rsidRPr="00844CC8">
        <w:rPr>
          <w:lang w:eastAsia="en-AU"/>
        </w:rPr>
        <w:t>We will empower young people to advocate and engage with government.</w:t>
      </w:r>
    </w:p>
    <w:p w14:paraId="7A0A611E" w14:textId="77777777" w:rsidR="00844CC8" w:rsidRPr="00844CC8" w:rsidRDefault="00844CC8" w:rsidP="002D0CB1">
      <w:pPr>
        <w:pStyle w:val="Quote"/>
        <w:spacing w:after="120"/>
        <w:rPr>
          <w:lang w:eastAsia="en-AU"/>
        </w:rPr>
      </w:pPr>
      <w:r w:rsidRPr="00844CC8">
        <w:rPr>
          <w:lang w:eastAsia="en-AU"/>
        </w:rPr>
        <w:t>We will support government to work with young people.</w:t>
      </w:r>
    </w:p>
    <w:p w14:paraId="6D7C7939" w14:textId="3F8D2533" w:rsidR="006320F6" w:rsidRPr="009D320B" w:rsidRDefault="00844CC8" w:rsidP="002D0CB1">
      <w:pPr>
        <w:spacing w:after="120" w:line="240" w:lineRule="auto"/>
        <w:jc w:val="both"/>
        <w:rPr>
          <w:rFonts w:ascii="Times New Roman" w:hAnsi="Times New Roman" w:cs="Times New Roman"/>
        </w:rPr>
      </w:pPr>
      <w:r w:rsidRPr="00844CC8">
        <w:rPr>
          <w:rFonts w:ascii="Times New Roman" w:hAnsi="Times New Roman" w:cs="Times New Roman"/>
          <w:lang w:eastAsia="en-AU"/>
        </w:rPr>
        <w:t xml:space="preserve">The strategy also includes </w:t>
      </w:r>
      <w:r w:rsidR="006320F6" w:rsidRPr="009D320B">
        <w:rPr>
          <w:rFonts w:ascii="Times New Roman" w:hAnsi="Times New Roman" w:cs="Times New Roman"/>
        </w:rPr>
        <w:t>a commitment to review progress towards these goals, by measuring the</w:t>
      </w:r>
      <w:r w:rsidR="00906503" w:rsidRPr="009D320B">
        <w:rPr>
          <w:rFonts w:ascii="Times New Roman" w:hAnsi="Times New Roman" w:cs="Times New Roman"/>
        </w:rPr>
        <w:t xml:space="preserve"> percentage of</w:t>
      </w:r>
      <w:r w:rsidR="006320F6" w:rsidRPr="009D320B">
        <w:rPr>
          <w:rFonts w:ascii="Times New Roman" w:hAnsi="Times New Roman" w:cs="Times New Roman"/>
        </w:rPr>
        <w:t>:</w:t>
      </w:r>
    </w:p>
    <w:p w14:paraId="7D5B2F38" w14:textId="24D8FAFC" w:rsidR="00A2596E" w:rsidRPr="009D320B" w:rsidRDefault="00A2596E"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program participants who felt they directly influenced a government policy or program.</w:t>
      </w:r>
    </w:p>
    <w:p w14:paraId="2E2F7586" w14:textId="33215DC7" w:rsidR="00A2596E" w:rsidRPr="009D320B" w:rsidRDefault="00A2596E"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young people who report a positive experience at a government event or program.</w:t>
      </w:r>
    </w:p>
    <w:p w14:paraId="493E7D56" w14:textId="34B3ECC6" w:rsidR="00A2596E" w:rsidRPr="009D320B" w:rsidRDefault="00A2596E"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 xml:space="preserve">program participants who feel they are recognised for their contributions in the </w:t>
      </w:r>
      <w:proofErr w:type="gramStart"/>
      <w:r w:rsidRPr="009D320B">
        <w:rPr>
          <w:rFonts w:ascii="Times New Roman" w:hAnsi="Times New Roman" w:cs="Times New Roman"/>
        </w:rPr>
        <w:t>community</w:t>
      </w:r>
      <w:r w:rsidR="00441361" w:rsidRPr="009D320B">
        <w:rPr>
          <w:rFonts w:ascii="Times New Roman" w:hAnsi="Times New Roman" w:cs="Times New Roman"/>
        </w:rPr>
        <w:t>(</w:t>
      </w:r>
      <w:proofErr w:type="gramEnd"/>
      <w:r w:rsidR="00441361" w:rsidRPr="009D320B">
        <w:rPr>
          <w:rFonts w:ascii="Times New Roman" w:hAnsi="Times New Roman" w:cs="Times New Roman"/>
        </w:rPr>
        <w:t>at p. 18)</w:t>
      </w:r>
      <w:r w:rsidRPr="009D320B">
        <w:rPr>
          <w:rFonts w:ascii="Times New Roman" w:hAnsi="Times New Roman" w:cs="Times New Roman"/>
        </w:rPr>
        <w:t>.</w:t>
      </w:r>
    </w:p>
    <w:p w14:paraId="442A1F7F" w14:textId="3C34D798" w:rsidR="00906503" w:rsidRPr="009D320B" w:rsidRDefault="00906503"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young people who engage with the digital youth hub and social media channels.</w:t>
      </w:r>
    </w:p>
    <w:p w14:paraId="1F0733BD" w14:textId="6FA5F992" w:rsidR="00906503" w:rsidRPr="009D320B" w:rsidRDefault="0069789C"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y</w:t>
      </w:r>
      <w:r w:rsidR="00906503" w:rsidRPr="009D320B">
        <w:rPr>
          <w:rFonts w:ascii="Times New Roman" w:hAnsi="Times New Roman" w:cs="Times New Roman"/>
        </w:rPr>
        <w:t>oung people who were able to access the government information they needed on the digital youth hub.</w:t>
      </w:r>
    </w:p>
    <w:p w14:paraId="56EFAF6F" w14:textId="572A8519" w:rsidR="00906503" w:rsidRPr="009D320B" w:rsidRDefault="00906503" w:rsidP="002D0CB1">
      <w:pPr>
        <w:pStyle w:val="ListParagraph"/>
        <w:numPr>
          <w:ilvl w:val="0"/>
          <w:numId w:val="22"/>
        </w:numPr>
        <w:spacing w:after="120"/>
        <w:contextualSpacing w:val="0"/>
        <w:jc w:val="both"/>
        <w:rPr>
          <w:rFonts w:ascii="Times New Roman" w:hAnsi="Times New Roman" w:cs="Times New Roman"/>
          <w:lang w:val="en-GB"/>
        </w:rPr>
      </w:pPr>
      <w:r w:rsidRPr="009D320B">
        <w:rPr>
          <w:rFonts w:ascii="Times New Roman" w:hAnsi="Times New Roman" w:cs="Times New Roman"/>
        </w:rPr>
        <w:lastRenderedPageBreak/>
        <w:t>First Nations young people and underrepresented young people participating in a program who feel more confident to engage with the government</w:t>
      </w:r>
      <w:r w:rsidR="0069789C" w:rsidRPr="009D320B">
        <w:rPr>
          <w:rFonts w:ascii="Times New Roman" w:hAnsi="Times New Roman" w:cs="Times New Roman"/>
        </w:rPr>
        <w:t xml:space="preserve"> (at p. 20)</w:t>
      </w:r>
      <w:r w:rsidRPr="009D320B">
        <w:rPr>
          <w:rFonts w:ascii="Times New Roman" w:hAnsi="Times New Roman" w:cs="Times New Roman"/>
        </w:rPr>
        <w:t>.</w:t>
      </w:r>
    </w:p>
    <w:p w14:paraId="414FABC8" w14:textId="1B1FB35D" w:rsidR="007632FA" w:rsidRPr="009D320B" w:rsidRDefault="007632FA" w:rsidP="002D0CB1">
      <w:pPr>
        <w:pStyle w:val="ListParagraph"/>
        <w:numPr>
          <w:ilvl w:val="0"/>
          <w:numId w:val="22"/>
        </w:numPr>
        <w:spacing w:after="120"/>
        <w:contextualSpacing w:val="0"/>
        <w:jc w:val="both"/>
        <w:rPr>
          <w:rFonts w:ascii="Times New Roman" w:hAnsi="Times New Roman" w:cs="Times New Roman"/>
          <w:lang w:val="en-GB"/>
        </w:rPr>
      </w:pPr>
      <w:r w:rsidRPr="009D320B">
        <w:rPr>
          <w:rFonts w:ascii="Times New Roman" w:hAnsi="Times New Roman" w:cs="Times New Roman"/>
          <w:lang w:val="en-GB"/>
        </w:rPr>
        <w:t>young people who feel that the Australian Government considers the views of young people.</w:t>
      </w:r>
    </w:p>
    <w:p w14:paraId="287DFD09" w14:textId="2A30AAA3" w:rsidR="007632FA" w:rsidRPr="009D320B" w:rsidRDefault="007632FA"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Australian Government departments and agencies that worked with the Office for Youth and felt supported to engage with young people.</w:t>
      </w:r>
    </w:p>
    <w:p w14:paraId="0898152A" w14:textId="3E222EBC" w:rsidR="00844CC8" w:rsidRPr="009D320B" w:rsidRDefault="007632FA" w:rsidP="002D0CB1">
      <w:pPr>
        <w:pStyle w:val="ListParagraph"/>
        <w:numPr>
          <w:ilvl w:val="0"/>
          <w:numId w:val="22"/>
        </w:numPr>
        <w:spacing w:after="120"/>
        <w:contextualSpacing w:val="0"/>
        <w:jc w:val="both"/>
        <w:rPr>
          <w:rFonts w:ascii="Times New Roman" w:hAnsi="Times New Roman" w:cs="Times New Roman"/>
        </w:rPr>
      </w:pPr>
      <w:r w:rsidRPr="009D320B">
        <w:rPr>
          <w:rFonts w:ascii="Times New Roman" w:hAnsi="Times New Roman" w:cs="Times New Roman"/>
        </w:rPr>
        <w:t xml:space="preserve">Australian Public Service who </w:t>
      </w:r>
      <w:proofErr w:type="gramStart"/>
      <w:r w:rsidRPr="009D320B">
        <w:rPr>
          <w:rFonts w:ascii="Times New Roman" w:hAnsi="Times New Roman" w:cs="Times New Roman"/>
        </w:rPr>
        <w:t>feel</w:t>
      </w:r>
      <w:proofErr w:type="gramEnd"/>
      <w:r w:rsidRPr="009D320B">
        <w:rPr>
          <w:rFonts w:ascii="Times New Roman" w:hAnsi="Times New Roman" w:cs="Times New Roman"/>
        </w:rPr>
        <w:t xml:space="preserve"> confident engaging with young people on the development of policy and programs</w:t>
      </w:r>
      <w:r w:rsidR="006320F6" w:rsidRPr="009D320B">
        <w:rPr>
          <w:rFonts w:ascii="Times New Roman" w:hAnsi="Times New Roman" w:cs="Times New Roman"/>
        </w:rPr>
        <w:t xml:space="preserve"> (at p. 21)</w:t>
      </w:r>
      <w:r w:rsidRPr="009D320B">
        <w:rPr>
          <w:rFonts w:ascii="Times New Roman" w:hAnsi="Times New Roman" w:cs="Times New Roman"/>
        </w:rPr>
        <w:t>.</w:t>
      </w:r>
    </w:p>
    <w:p w14:paraId="22676684" w14:textId="19DEBFE2" w:rsidR="00441361" w:rsidRDefault="005515CD" w:rsidP="002D0CB1">
      <w:pPr>
        <w:spacing w:after="120" w:line="240" w:lineRule="auto"/>
        <w:jc w:val="both"/>
        <w:rPr>
          <w:rFonts w:ascii="Times New Roman" w:hAnsi="Times New Roman" w:cs="Times New Roman"/>
        </w:rPr>
      </w:pPr>
      <w:r w:rsidRPr="006F3A5D">
        <w:rPr>
          <w:rFonts w:ascii="Times New Roman" w:hAnsi="Times New Roman" w:cs="Times New Roman"/>
        </w:rPr>
        <w:t>Programs like the Australian Youth Parliament offer young Australians the chance to draft and debate legislation, mirroring the parliamentary process</w:t>
      </w:r>
      <w:r w:rsidR="00981288">
        <w:rPr>
          <w:rFonts w:ascii="Times New Roman" w:hAnsi="Times New Roman" w:cs="Times New Roman"/>
        </w:rPr>
        <w:t>, and provide an avenue for selected young people to develop and design new policy or legislative proposals that respond to pressing concerns within their communities</w:t>
      </w:r>
      <w:r w:rsidRPr="006F3A5D">
        <w:rPr>
          <w:rFonts w:ascii="Times New Roman" w:hAnsi="Times New Roman" w:cs="Times New Roman"/>
        </w:rPr>
        <w:t xml:space="preserve"> (YMCA Youth Parliament, 2023).</w:t>
      </w:r>
      <w:r w:rsidR="00981288">
        <w:rPr>
          <w:rFonts w:ascii="Times New Roman" w:hAnsi="Times New Roman" w:cs="Times New Roman"/>
        </w:rPr>
        <w:t xml:space="preserve"> </w:t>
      </w:r>
      <w:r w:rsidR="0069044B">
        <w:rPr>
          <w:rFonts w:ascii="Times New Roman" w:hAnsi="Times New Roman" w:cs="Times New Roman"/>
        </w:rPr>
        <w:t>The YMCA Youth Parliament website (</w:t>
      </w:r>
      <w:r w:rsidR="00552262" w:rsidRPr="00552262">
        <w:rPr>
          <w:rFonts w:ascii="Times New Roman" w:hAnsi="Times New Roman" w:cs="Times New Roman"/>
        </w:rPr>
        <w:t>https://ymca.org.au/what-we-do/empowering-young-people/youth-parliament/</w:t>
      </w:r>
      <w:r w:rsidR="00552262">
        <w:rPr>
          <w:rFonts w:ascii="Times New Roman" w:hAnsi="Times New Roman" w:cs="Times New Roman"/>
        </w:rPr>
        <w:t xml:space="preserve">) </w:t>
      </w:r>
      <w:r w:rsidR="0069044B">
        <w:rPr>
          <w:rFonts w:ascii="Times New Roman" w:hAnsi="Times New Roman" w:cs="Times New Roman"/>
        </w:rPr>
        <w:t>explains that:</w:t>
      </w:r>
    </w:p>
    <w:p w14:paraId="5240AD73" w14:textId="379F6443" w:rsidR="0069044B" w:rsidRDefault="0069044B" w:rsidP="002D0CB1">
      <w:pPr>
        <w:pStyle w:val="Quote"/>
        <w:spacing w:after="120"/>
      </w:pPr>
      <w:r>
        <w:rPr>
          <w:shd w:val="clear" w:color="auto" w:fill="FFFFFF"/>
        </w:rPr>
        <w:t xml:space="preserve">Each year around 400 young people take part in the Y’s Youth Parliament program, held in each state’s Parliament House, across six states in Australia, re-enacting the exact parliamentary process with the same number of roles. Youth Parliament delegates formulate bills, </w:t>
      </w:r>
      <w:proofErr w:type="gramStart"/>
      <w:r>
        <w:rPr>
          <w:shd w:val="clear" w:color="auto" w:fill="FFFFFF"/>
        </w:rPr>
        <w:t>debate</w:t>
      </w:r>
      <w:proofErr w:type="gramEnd"/>
      <w:r>
        <w:rPr>
          <w:shd w:val="clear" w:color="auto" w:fill="FFFFFF"/>
        </w:rPr>
        <w:t xml:space="preserve"> and then vote on them. The program is designed to give young people between the ages of 16-25 a chance to be heard at the highest levels of State Government on a wide range of issues relevant to young people’s lives, with the bills developed then handed to relevant ministers, providing the government with insights on issues important to young Australians.</w:t>
      </w:r>
    </w:p>
    <w:p w14:paraId="6CEB0A6E" w14:textId="3C8463A1" w:rsidR="004B4D73" w:rsidRPr="00A21B3A" w:rsidRDefault="00533A17" w:rsidP="002D0CB1">
      <w:pPr>
        <w:spacing w:after="120" w:line="240" w:lineRule="auto"/>
        <w:jc w:val="both"/>
        <w:rPr>
          <w:rFonts w:ascii="Times New Roman" w:hAnsi="Times New Roman" w:cs="Times New Roman"/>
        </w:rPr>
      </w:pPr>
      <w:r w:rsidRPr="00A21B3A">
        <w:rPr>
          <w:rFonts w:ascii="Times New Roman" w:hAnsi="Times New Roman" w:cs="Times New Roman"/>
        </w:rPr>
        <w:t xml:space="preserve">Evaluations of the YMCA Youth Parliament programs demonstrate a range of positive impacts for participants. </w:t>
      </w:r>
      <w:r w:rsidR="0006597B" w:rsidRPr="00A21B3A">
        <w:rPr>
          <w:rFonts w:ascii="Times New Roman" w:hAnsi="Times New Roman" w:cs="Times New Roman"/>
        </w:rPr>
        <w:t>For example, after participating in the 2023 Y</w:t>
      </w:r>
      <w:r w:rsidR="00E74AAB">
        <w:rPr>
          <w:rFonts w:ascii="Times New Roman" w:hAnsi="Times New Roman" w:cs="Times New Roman"/>
        </w:rPr>
        <w:t>M</w:t>
      </w:r>
      <w:r w:rsidR="0006597B" w:rsidRPr="00A21B3A">
        <w:rPr>
          <w:rFonts w:ascii="Times New Roman" w:hAnsi="Times New Roman" w:cs="Times New Roman"/>
        </w:rPr>
        <w:t>WA Youth Parliament : 9</w:t>
      </w:r>
      <w:r w:rsidR="003907D2" w:rsidRPr="00A21B3A">
        <w:rPr>
          <w:rFonts w:ascii="Times New Roman" w:hAnsi="Times New Roman" w:cs="Times New Roman"/>
        </w:rPr>
        <w:t>4%</w:t>
      </w:r>
      <w:r w:rsidR="0006597B" w:rsidRPr="00A21B3A">
        <w:rPr>
          <w:rFonts w:ascii="Times New Roman" w:hAnsi="Times New Roman" w:cs="Times New Roman"/>
        </w:rPr>
        <w:t xml:space="preserve"> of participants agreed that participation increased their ability to have a voice and be heard on issues in the community</w:t>
      </w:r>
      <w:r w:rsidR="004B4D73" w:rsidRPr="00A21B3A">
        <w:rPr>
          <w:rFonts w:ascii="Times New Roman" w:hAnsi="Times New Roman" w:cs="Times New Roman"/>
        </w:rPr>
        <w:t>,</w:t>
      </w:r>
      <w:r w:rsidR="0006597B" w:rsidRPr="00A21B3A">
        <w:rPr>
          <w:rFonts w:ascii="Times New Roman" w:hAnsi="Times New Roman" w:cs="Times New Roman"/>
        </w:rPr>
        <w:t xml:space="preserve"> 8</w:t>
      </w:r>
      <w:r w:rsidR="004B4D73" w:rsidRPr="00A21B3A">
        <w:rPr>
          <w:rFonts w:ascii="Times New Roman" w:hAnsi="Times New Roman" w:cs="Times New Roman"/>
        </w:rPr>
        <w:t>8%</w:t>
      </w:r>
      <w:r w:rsidR="0006597B" w:rsidRPr="00A21B3A">
        <w:rPr>
          <w:rFonts w:ascii="Times New Roman" w:hAnsi="Times New Roman" w:cs="Times New Roman"/>
        </w:rPr>
        <w:t xml:space="preserve"> of young people reported an 77% increased sense of belonging post-program reported they were better equipped for te</w:t>
      </w:r>
      <w:r w:rsidR="00A21B3A" w:rsidRPr="00A21B3A">
        <w:rPr>
          <w:rFonts w:ascii="Times New Roman" w:hAnsi="Times New Roman" w:cs="Times New Roman"/>
        </w:rPr>
        <w:t>amwork</w:t>
      </w:r>
      <w:r w:rsidR="0006597B" w:rsidRPr="00A21B3A">
        <w:rPr>
          <w:rFonts w:ascii="Times New Roman" w:hAnsi="Times New Roman" w:cs="Times New Roman"/>
        </w:rPr>
        <w:t xml:space="preserve"> </w:t>
      </w:r>
      <w:r w:rsidR="003907D2" w:rsidRPr="00A21B3A">
        <w:rPr>
          <w:rFonts w:ascii="Times New Roman" w:hAnsi="Times New Roman" w:cs="Times New Roman"/>
        </w:rPr>
        <w:t>(YM</w:t>
      </w:r>
      <w:r w:rsidR="00A21B3A" w:rsidRPr="00A21B3A">
        <w:rPr>
          <w:rFonts w:ascii="Times New Roman" w:hAnsi="Times New Roman" w:cs="Times New Roman"/>
        </w:rPr>
        <w:t>C</w:t>
      </w:r>
      <w:r w:rsidR="003907D2" w:rsidRPr="00A21B3A">
        <w:rPr>
          <w:rFonts w:ascii="Times New Roman" w:hAnsi="Times New Roman" w:cs="Times New Roman"/>
        </w:rPr>
        <w:t xml:space="preserve">A Federal Youth Engagement Strategy Submission, </w:t>
      </w:r>
      <w:r w:rsidR="00530213" w:rsidRPr="00A21B3A">
        <w:rPr>
          <w:rFonts w:ascii="Times New Roman" w:hAnsi="Times New Roman" w:cs="Times New Roman"/>
        </w:rPr>
        <w:t xml:space="preserve">‘What do Australia’s Youth Parliament Think, </w:t>
      </w:r>
      <w:r w:rsidR="003907D2" w:rsidRPr="00A21B3A">
        <w:rPr>
          <w:rFonts w:ascii="Times New Roman" w:hAnsi="Times New Roman" w:cs="Times New Roman"/>
        </w:rPr>
        <w:t>2023,</w:t>
      </w:r>
      <w:r w:rsidR="004B4D73" w:rsidRPr="00A21B3A">
        <w:rPr>
          <w:rFonts w:ascii="Times New Roman" w:hAnsi="Times New Roman" w:cs="Times New Roman"/>
        </w:rPr>
        <w:t xml:space="preserve"> p.5</w:t>
      </w:r>
      <w:r w:rsidR="0006597B" w:rsidRPr="00A21B3A">
        <w:rPr>
          <w:rFonts w:ascii="Times New Roman" w:hAnsi="Times New Roman" w:cs="Times New Roman"/>
        </w:rPr>
        <w:t xml:space="preserve"> </w:t>
      </w:r>
      <w:r w:rsidR="0006597B" w:rsidRPr="009D320B">
        <w:rPr>
          <w:rFonts w:ascii="Times New Roman" w:hAnsi="Times New Roman" w:cs="Times New Roman"/>
        </w:rPr>
        <w:t>https://ymca.org.au/wp-content/uploads/2023/12/Youth-Engagement-Strategy-Submission.pdf</w:t>
      </w:r>
      <w:r w:rsidR="00530213" w:rsidRPr="00A21B3A">
        <w:rPr>
          <w:rFonts w:ascii="Times New Roman" w:hAnsi="Times New Roman" w:cs="Times New Roman"/>
        </w:rPr>
        <w:t xml:space="preserve">).  Australian Youth Parliaments have also proved to be </w:t>
      </w:r>
      <w:r w:rsidR="00CF064F" w:rsidRPr="00A21B3A">
        <w:rPr>
          <w:rFonts w:ascii="Times New Roman" w:hAnsi="Times New Roman" w:cs="Times New Roman"/>
        </w:rPr>
        <w:t>effective forums for young Australians to highlight the key policy issues impacting their lives, and their communities. For example</w:t>
      </w:r>
      <w:r w:rsidR="004B4D73" w:rsidRPr="00A21B3A">
        <w:rPr>
          <w:rFonts w:ascii="Times New Roman" w:hAnsi="Times New Roman" w:cs="Times New Roman"/>
        </w:rPr>
        <w:t>:</w:t>
      </w:r>
    </w:p>
    <w:p w14:paraId="24A24F1F" w14:textId="4A6999D7" w:rsidR="00552262" w:rsidRDefault="00CF064F" w:rsidP="002D0CB1">
      <w:pPr>
        <w:pStyle w:val="Quote"/>
        <w:spacing w:after="120"/>
      </w:pPr>
      <w:r>
        <w:t xml:space="preserve"> </w:t>
      </w:r>
      <w:r w:rsidR="004B4D73">
        <w:t xml:space="preserve">in 2023, approximately 60 Bills were developed, </w:t>
      </w:r>
      <w:proofErr w:type="gramStart"/>
      <w:r w:rsidR="004B4D73">
        <w:t>debated</w:t>
      </w:r>
      <w:proofErr w:type="gramEnd"/>
      <w:r w:rsidR="004B4D73">
        <w:t xml:space="preserve"> and voted on across the country covering a wide variety of policy issues from mental health to housing, maternity services and vaping. Each Youth Parliament also debated a 'national motion to public importance' which this year was a motion for a Federal Human Rights Bill (at p. 2)</w:t>
      </w:r>
    </w:p>
    <w:p w14:paraId="79B2546E" w14:textId="00DB8650" w:rsidR="005515CD" w:rsidRDefault="00981288" w:rsidP="002D0CB1">
      <w:pPr>
        <w:spacing w:after="120" w:line="240" w:lineRule="auto"/>
        <w:jc w:val="both"/>
        <w:rPr>
          <w:rFonts w:ascii="Times New Roman" w:hAnsi="Times New Roman" w:cs="Times New Roman"/>
        </w:rPr>
      </w:pPr>
      <w:r>
        <w:rPr>
          <w:rFonts w:ascii="Times New Roman" w:hAnsi="Times New Roman" w:cs="Times New Roman"/>
        </w:rPr>
        <w:t xml:space="preserve">However, these programs rarely enable </w:t>
      </w:r>
      <w:r w:rsidR="00632D44">
        <w:rPr>
          <w:rFonts w:ascii="Times New Roman" w:hAnsi="Times New Roman" w:cs="Times New Roman"/>
        </w:rPr>
        <w:t xml:space="preserve">young people to </w:t>
      </w:r>
      <w:r w:rsidR="00632D44">
        <w:rPr>
          <w:rFonts w:ascii="Times New Roman" w:hAnsi="Times New Roman" w:cs="Times New Roman"/>
          <w:i/>
          <w:iCs/>
        </w:rPr>
        <w:t xml:space="preserve">directly </w:t>
      </w:r>
      <w:r w:rsidR="00632D44">
        <w:rPr>
          <w:rFonts w:ascii="Times New Roman" w:hAnsi="Times New Roman" w:cs="Times New Roman"/>
        </w:rPr>
        <w:t xml:space="preserve">influence government policy or legislative </w:t>
      </w:r>
      <w:proofErr w:type="gramStart"/>
      <w:r w:rsidR="00632D44">
        <w:rPr>
          <w:rFonts w:ascii="Times New Roman" w:hAnsi="Times New Roman" w:cs="Times New Roman"/>
        </w:rPr>
        <w:t>drafting, and</w:t>
      </w:r>
      <w:proofErr w:type="gramEnd"/>
      <w:r w:rsidR="00632D44">
        <w:rPr>
          <w:rFonts w:ascii="Times New Roman" w:hAnsi="Times New Roman" w:cs="Times New Roman"/>
        </w:rPr>
        <w:t xml:space="preserve"> stop short of empowering the Youth Parliaments or Youth Advisory Councils with </w:t>
      </w:r>
      <w:r w:rsidR="00F757D1">
        <w:rPr>
          <w:rFonts w:ascii="Times New Roman" w:hAnsi="Times New Roman" w:cs="Times New Roman"/>
        </w:rPr>
        <w:t xml:space="preserve">procedural authority (such as compellable powers to call witnesses when sitting as committees or access to parliamentary privilege) </w:t>
      </w:r>
      <w:r w:rsidR="009F5C95">
        <w:rPr>
          <w:rFonts w:ascii="Times New Roman" w:hAnsi="Times New Roman" w:cs="Times New Roman"/>
        </w:rPr>
        <w:t xml:space="preserve">or political influence (such as </w:t>
      </w:r>
      <w:r w:rsidR="004342F8">
        <w:rPr>
          <w:rFonts w:ascii="Times New Roman" w:hAnsi="Times New Roman" w:cs="Times New Roman"/>
        </w:rPr>
        <w:t>utilising</w:t>
      </w:r>
      <w:r w:rsidR="009F5C95">
        <w:rPr>
          <w:rFonts w:ascii="Times New Roman" w:hAnsi="Times New Roman" w:cs="Times New Roman"/>
        </w:rPr>
        <w:t xml:space="preserve"> direct election selection processes).</w:t>
      </w:r>
    </w:p>
    <w:p w14:paraId="3B67AF61" w14:textId="72F6E9A7" w:rsidR="0000689E" w:rsidRPr="006F3A5D" w:rsidRDefault="00327E90"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Some local councils have implemented </w:t>
      </w:r>
      <w:r>
        <w:rPr>
          <w:rFonts w:ascii="Times New Roman" w:hAnsi="Times New Roman" w:cs="Times New Roman"/>
        </w:rPr>
        <w:t xml:space="preserve">young mayor programs and </w:t>
      </w:r>
      <w:r w:rsidRPr="006F3A5D">
        <w:rPr>
          <w:rFonts w:ascii="Times New Roman" w:hAnsi="Times New Roman" w:cs="Times New Roman"/>
        </w:rPr>
        <w:t xml:space="preserve">participatory budgeting processes where young residents can propose and vote on community projects or </w:t>
      </w:r>
      <w:r w:rsidR="00895625" w:rsidRPr="006F3A5D">
        <w:rPr>
          <w:rFonts w:ascii="Times New Roman" w:hAnsi="Times New Roman" w:cs="Times New Roman"/>
        </w:rPr>
        <w:t>improvements</w:t>
      </w:r>
      <w:r w:rsidR="00895625">
        <w:rPr>
          <w:rFonts w:ascii="Times New Roman" w:hAnsi="Times New Roman" w:cs="Times New Roman"/>
        </w:rPr>
        <w:t xml:space="preserve"> and</w:t>
      </w:r>
      <w:r>
        <w:rPr>
          <w:rFonts w:ascii="Times New Roman" w:hAnsi="Times New Roman" w:cs="Times New Roman"/>
        </w:rPr>
        <w:t xml:space="preserve"> can also lead to access to grant funding for local projects or activities designed to respond to the needs of local young people </w:t>
      </w:r>
      <w:r w:rsidRPr="006F3A5D">
        <w:rPr>
          <w:rFonts w:ascii="Times New Roman" w:hAnsi="Times New Roman" w:cs="Times New Roman"/>
        </w:rPr>
        <w:t>(Local Government Association of Queensland, 2023).</w:t>
      </w:r>
      <w:r w:rsidR="0000689E">
        <w:rPr>
          <w:rFonts w:ascii="Times New Roman" w:hAnsi="Times New Roman" w:cs="Times New Roman"/>
        </w:rPr>
        <w:t xml:space="preserve">  For example, the </w:t>
      </w:r>
      <w:r w:rsidR="0000689E" w:rsidRPr="006F3A5D">
        <w:rPr>
          <w:rFonts w:ascii="Times New Roman" w:hAnsi="Times New Roman" w:cs="Times New Roman"/>
        </w:rPr>
        <w:t>Young Mayors Program</w:t>
      </w:r>
      <w:r w:rsidR="0000689E">
        <w:rPr>
          <w:rFonts w:ascii="Times New Roman" w:hAnsi="Times New Roman" w:cs="Times New Roman"/>
        </w:rPr>
        <w:t xml:space="preserve"> supported by the Foundation for Young Australians </w:t>
      </w:r>
      <w:r w:rsidR="0000689E" w:rsidRPr="006F3A5D">
        <w:rPr>
          <w:rFonts w:ascii="Times New Roman" w:hAnsi="Times New Roman" w:cs="Times New Roman"/>
        </w:rPr>
        <w:t>designed to empower young people by involving them in local governance and decision-making processes. Targeted at high school students, the program allows</w:t>
      </w:r>
      <w:r w:rsidR="0000689E">
        <w:rPr>
          <w:rFonts w:ascii="Times New Roman" w:hAnsi="Times New Roman" w:cs="Times New Roman"/>
        </w:rPr>
        <w:t xml:space="preserve"> young people aged </w:t>
      </w:r>
      <w:proofErr w:type="gramStart"/>
      <w:r w:rsidR="00F77EB8">
        <w:rPr>
          <w:rFonts w:ascii="Times New Roman" w:hAnsi="Times New Roman" w:cs="Times New Roman"/>
        </w:rPr>
        <w:t>11 to 17 year olds</w:t>
      </w:r>
      <w:proofErr w:type="gramEnd"/>
      <w:r w:rsidR="0000689E" w:rsidRPr="006F3A5D">
        <w:rPr>
          <w:rFonts w:ascii="Times New Roman" w:hAnsi="Times New Roman" w:cs="Times New Roman"/>
        </w:rPr>
        <w:t xml:space="preserve"> to take on roles similar to those of a mayor or</w:t>
      </w:r>
      <w:r w:rsidR="0000689E">
        <w:rPr>
          <w:rFonts w:ascii="Times New Roman" w:hAnsi="Times New Roman" w:cs="Times New Roman"/>
        </w:rPr>
        <w:t xml:space="preserve"> local</w:t>
      </w:r>
      <w:r w:rsidR="0000689E" w:rsidRPr="006F3A5D">
        <w:rPr>
          <w:rFonts w:ascii="Times New Roman" w:hAnsi="Times New Roman" w:cs="Times New Roman"/>
        </w:rPr>
        <w:t xml:space="preserve"> councillor, providing a hands-on opportunity to engage with community issues, develop leadership skills, and influence local policies. The Young Mayors Program </w:t>
      </w:r>
      <w:r w:rsidR="0000689E">
        <w:rPr>
          <w:rFonts w:ascii="Times New Roman" w:hAnsi="Times New Roman" w:cs="Times New Roman"/>
        </w:rPr>
        <w:t xml:space="preserve">has been rolled out in </w:t>
      </w:r>
      <w:r w:rsidR="002B6E0B">
        <w:rPr>
          <w:rFonts w:ascii="Times New Roman" w:hAnsi="Times New Roman" w:cs="Times New Roman"/>
        </w:rPr>
        <w:t>selected</w:t>
      </w:r>
      <w:r w:rsidR="0000689E">
        <w:rPr>
          <w:rFonts w:ascii="Times New Roman" w:hAnsi="Times New Roman" w:cs="Times New Roman"/>
        </w:rPr>
        <w:t xml:space="preserve"> local government areas </w:t>
      </w:r>
      <w:r w:rsidR="002B6E0B">
        <w:rPr>
          <w:rFonts w:ascii="Times New Roman" w:hAnsi="Times New Roman" w:cs="Times New Roman"/>
        </w:rPr>
        <w:t xml:space="preserve">including Horsham Victoria, </w:t>
      </w:r>
      <w:r w:rsidR="00C93C8F">
        <w:rPr>
          <w:rFonts w:ascii="Times New Roman" w:hAnsi="Times New Roman" w:cs="Times New Roman"/>
        </w:rPr>
        <w:t xml:space="preserve">MacKay </w:t>
      </w:r>
      <w:proofErr w:type="gramStart"/>
      <w:r w:rsidR="00C93C8F">
        <w:rPr>
          <w:rFonts w:ascii="Times New Roman" w:hAnsi="Times New Roman" w:cs="Times New Roman"/>
        </w:rPr>
        <w:t>Queensland</w:t>
      </w:r>
      <w:proofErr w:type="gramEnd"/>
      <w:r w:rsidR="00C93C8F">
        <w:rPr>
          <w:rFonts w:ascii="Times New Roman" w:hAnsi="Times New Roman" w:cs="Times New Roman"/>
        </w:rPr>
        <w:t xml:space="preserve"> and </w:t>
      </w:r>
      <w:r w:rsidR="00F27ECD">
        <w:rPr>
          <w:rFonts w:ascii="Times New Roman" w:hAnsi="Times New Roman" w:cs="Times New Roman"/>
        </w:rPr>
        <w:t>Wollongong New South Wales (</w:t>
      </w:r>
      <w:r w:rsidR="004342F8">
        <w:rPr>
          <w:rFonts w:ascii="Times New Roman" w:hAnsi="Times New Roman" w:cs="Times New Roman"/>
        </w:rPr>
        <w:t>&lt;</w:t>
      </w:r>
      <w:r w:rsidR="004342F8" w:rsidRPr="004342F8">
        <w:rPr>
          <w:rFonts w:ascii="Times New Roman" w:hAnsi="Times New Roman" w:cs="Times New Roman"/>
        </w:rPr>
        <w:t>https://www.fya.org.au/program/young-mayors/</w:t>
      </w:r>
      <w:r w:rsidR="004342F8">
        <w:rPr>
          <w:rFonts w:ascii="Times New Roman" w:hAnsi="Times New Roman" w:cs="Times New Roman"/>
        </w:rPr>
        <w:t>&gt;).</w:t>
      </w:r>
    </w:p>
    <w:p w14:paraId="1D2665D1" w14:textId="0FDA656E" w:rsidR="00C445CB" w:rsidRPr="00966DBB" w:rsidRDefault="009F5C95" w:rsidP="002376DE">
      <w:pPr>
        <w:spacing w:after="120" w:line="240" w:lineRule="auto"/>
        <w:jc w:val="both"/>
        <w:rPr>
          <w:rFonts w:ascii="Times New Roman" w:hAnsi="Times New Roman" w:cs="Times New Roman"/>
        </w:rPr>
      </w:pPr>
      <w:r>
        <w:rPr>
          <w:rFonts w:ascii="Times New Roman" w:hAnsi="Times New Roman" w:cs="Times New Roman"/>
        </w:rPr>
        <w:lastRenderedPageBreak/>
        <w:t>Non-government y</w:t>
      </w:r>
      <w:r w:rsidR="005515CD" w:rsidRPr="006F3A5D">
        <w:rPr>
          <w:rFonts w:ascii="Times New Roman" w:hAnsi="Times New Roman" w:cs="Times New Roman"/>
        </w:rPr>
        <w:t xml:space="preserve">outh-led </w:t>
      </w:r>
      <w:r>
        <w:rPr>
          <w:rFonts w:ascii="Times New Roman" w:hAnsi="Times New Roman" w:cs="Times New Roman"/>
        </w:rPr>
        <w:t xml:space="preserve">advocacy groups like </w:t>
      </w:r>
      <w:r w:rsidR="005515CD" w:rsidRPr="006F3A5D">
        <w:rPr>
          <w:rFonts w:ascii="Times New Roman" w:hAnsi="Times New Roman" w:cs="Times New Roman"/>
        </w:rPr>
        <w:t xml:space="preserve">the Australian Youth Climate Coalition (AYCC) </w:t>
      </w:r>
      <w:r w:rsidR="002376DE">
        <w:rPr>
          <w:rFonts w:ascii="Times New Roman" w:hAnsi="Times New Roman" w:cs="Times New Roman"/>
        </w:rPr>
        <w:t xml:space="preserve">and the </w:t>
      </w:r>
      <w:r w:rsidR="002376DE" w:rsidRPr="00966DBB">
        <w:rPr>
          <w:rFonts w:ascii="Times New Roman" w:hAnsi="Times New Roman" w:cs="Times New Roman"/>
        </w:rPr>
        <w:t xml:space="preserve">Australian Youth Affairs Coalition (AYAC) </w:t>
      </w:r>
      <w:r w:rsidR="002376DE">
        <w:rPr>
          <w:rFonts w:ascii="Times New Roman" w:hAnsi="Times New Roman" w:cs="Times New Roman"/>
        </w:rPr>
        <w:t xml:space="preserve">are also important forums for </w:t>
      </w:r>
      <w:r w:rsidR="005515CD" w:rsidRPr="006F3A5D">
        <w:rPr>
          <w:rFonts w:ascii="Times New Roman" w:hAnsi="Times New Roman" w:cs="Times New Roman"/>
        </w:rPr>
        <w:t>young people to</w:t>
      </w:r>
      <w:r w:rsidR="002376DE">
        <w:rPr>
          <w:rFonts w:ascii="Times New Roman" w:hAnsi="Times New Roman" w:cs="Times New Roman"/>
        </w:rPr>
        <w:t xml:space="preserve"> engaged in public </w:t>
      </w:r>
      <w:r w:rsidR="005515CD" w:rsidRPr="006F3A5D">
        <w:rPr>
          <w:rFonts w:ascii="Times New Roman" w:hAnsi="Times New Roman" w:cs="Times New Roman"/>
        </w:rPr>
        <w:t>advocacy</w:t>
      </w:r>
      <w:r w:rsidR="002376DE">
        <w:rPr>
          <w:rFonts w:ascii="Times New Roman" w:hAnsi="Times New Roman" w:cs="Times New Roman"/>
        </w:rPr>
        <w:t xml:space="preserve"> and engage with elected representatives and key government actors.  T</w:t>
      </w:r>
      <w:r w:rsidR="005515CD" w:rsidRPr="006F3A5D">
        <w:rPr>
          <w:rFonts w:ascii="Times New Roman" w:hAnsi="Times New Roman" w:cs="Times New Roman"/>
        </w:rPr>
        <w:t xml:space="preserve">hese groups </w:t>
      </w:r>
      <w:r w:rsidR="002376DE">
        <w:rPr>
          <w:rFonts w:ascii="Times New Roman" w:hAnsi="Times New Roman" w:cs="Times New Roman"/>
        </w:rPr>
        <w:t xml:space="preserve">support young people to contribute to written submissions to parliamentary committees and provide training opportunities for young people to develop </w:t>
      </w:r>
      <w:r w:rsidR="00421364">
        <w:rPr>
          <w:rFonts w:ascii="Times New Roman" w:hAnsi="Times New Roman" w:cs="Times New Roman"/>
        </w:rPr>
        <w:t>political advocacy and lobbying skills, as well as knowledge of parliamentary processes</w:t>
      </w:r>
      <w:r w:rsidR="00327E90">
        <w:rPr>
          <w:rFonts w:ascii="Times New Roman" w:hAnsi="Times New Roman" w:cs="Times New Roman"/>
        </w:rPr>
        <w:t>.</w:t>
      </w:r>
      <w:r w:rsidR="00966DBB" w:rsidRPr="00966DBB">
        <w:rPr>
          <w:rFonts w:ascii="Times New Roman" w:hAnsi="Times New Roman" w:cs="Times New Roman"/>
        </w:rPr>
        <w:t xml:space="preserve"> </w:t>
      </w:r>
      <w:r w:rsidR="006A3577" w:rsidRPr="00966DBB">
        <w:rPr>
          <w:rFonts w:ascii="Times New Roman" w:hAnsi="Times New Roman" w:cs="Times New Roman"/>
        </w:rPr>
        <w:t xml:space="preserve">For example, in May 2024 the AYAC prepared a </w:t>
      </w:r>
      <w:r w:rsidR="001E4B04" w:rsidRPr="00966DBB">
        <w:rPr>
          <w:rFonts w:ascii="Times New Roman" w:hAnsi="Times New Roman" w:cs="Times New Roman"/>
        </w:rPr>
        <w:t xml:space="preserve">Budget Summary </w:t>
      </w:r>
      <w:r w:rsidR="000E7498" w:rsidRPr="00966DBB">
        <w:rPr>
          <w:rFonts w:ascii="Times New Roman" w:hAnsi="Times New Roman" w:cs="Times New Roman"/>
        </w:rPr>
        <w:t>that provides an</w:t>
      </w:r>
      <w:r w:rsidR="00245385" w:rsidRPr="00966DBB">
        <w:rPr>
          <w:rFonts w:ascii="Times New Roman" w:hAnsi="Times New Roman" w:cs="Times New Roman"/>
        </w:rPr>
        <w:t xml:space="preserve"> overview of the key initiatives announced by the Australian Government in the 2024-2025 May Budget </w:t>
      </w:r>
      <w:r w:rsidR="000E7498" w:rsidRPr="00966DBB">
        <w:rPr>
          <w:rFonts w:ascii="Times New Roman" w:hAnsi="Times New Roman" w:cs="Times New Roman"/>
        </w:rPr>
        <w:t>affecting</w:t>
      </w:r>
      <w:r w:rsidR="00245385" w:rsidRPr="00966DBB">
        <w:rPr>
          <w:rFonts w:ascii="Times New Roman" w:hAnsi="Times New Roman" w:cs="Times New Roman"/>
        </w:rPr>
        <w:t xml:space="preserve"> young people in Australia</w:t>
      </w:r>
      <w:r w:rsidR="000E7498" w:rsidRPr="00966DBB">
        <w:rPr>
          <w:rFonts w:ascii="Times New Roman" w:hAnsi="Times New Roman" w:cs="Times New Roman"/>
        </w:rPr>
        <w:t xml:space="preserve">, and underscoring the need for further cost of living relief to support </w:t>
      </w:r>
      <w:r w:rsidR="0002709D" w:rsidRPr="00966DBB">
        <w:rPr>
          <w:rFonts w:ascii="Times New Roman" w:hAnsi="Times New Roman" w:cs="Times New Roman"/>
        </w:rPr>
        <w:t xml:space="preserve">young people who rely on income </w:t>
      </w:r>
      <w:proofErr w:type="gramStart"/>
      <w:r w:rsidR="0002709D" w:rsidRPr="00966DBB">
        <w:rPr>
          <w:rFonts w:ascii="Times New Roman" w:hAnsi="Times New Roman" w:cs="Times New Roman"/>
        </w:rPr>
        <w:t>support</w:t>
      </w:r>
      <w:r w:rsidR="000E7498" w:rsidRPr="00966DBB">
        <w:rPr>
          <w:rFonts w:ascii="Times New Roman" w:hAnsi="Times New Roman" w:cs="Times New Roman"/>
        </w:rPr>
        <w:t xml:space="preserve">  </w:t>
      </w:r>
      <w:r w:rsidR="00245385" w:rsidRPr="00966DBB">
        <w:rPr>
          <w:rFonts w:ascii="Times New Roman" w:hAnsi="Times New Roman" w:cs="Times New Roman"/>
        </w:rPr>
        <w:t>(</w:t>
      </w:r>
      <w:proofErr w:type="gramEnd"/>
      <w:r w:rsidR="00245385" w:rsidRPr="00966DBB">
        <w:rPr>
          <w:rFonts w:ascii="Times New Roman" w:hAnsi="Times New Roman" w:cs="Times New Roman"/>
        </w:rPr>
        <w:t>&lt;</w:t>
      </w:r>
      <w:r w:rsidR="006A3577" w:rsidRPr="00966DBB">
        <w:rPr>
          <w:rFonts w:ascii="Times New Roman" w:hAnsi="Times New Roman" w:cs="Times New Roman"/>
        </w:rPr>
        <w:t>https://static1.squarespace.com/static/60948b9e3847ee0caf0e2dd4/t/6646f78fa10b024ff51baa2a/1715926930319/The+2024-2025+Federal+Budget+and+young+people++.pdf</w:t>
      </w:r>
      <w:r w:rsidR="00245385" w:rsidRPr="00966DBB">
        <w:rPr>
          <w:rFonts w:ascii="Times New Roman" w:hAnsi="Times New Roman" w:cs="Times New Roman"/>
        </w:rPr>
        <w:t>&gt;)</w:t>
      </w:r>
      <w:r w:rsidR="000E7498" w:rsidRPr="00966DBB">
        <w:rPr>
          <w:rFonts w:ascii="Times New Roman" w:hAnsi="Times New Roman" w:cs="Times New Roman"/>
        </w:rPr>
        <w:t xml:space="preserve">.  The AYAC </w:t>
      </w:r>
      <w:r w:rsidR="00000530" w:rsidRPr="00966DBB">
        <w:rPr>
          <w:rFonts w:ascii="Times New Roman" w:hAnsi="Times New Roman" w:cs="Times New Roman"/>
        </w:rPr>
        <w:t>has also made submissions to a range of parliamentary committee inquiries and regularly contributes to public debate</w:t>
      </w:r>
      <w:r w:rsidR="00966DBB" w:rsidRPr="00966DBB">
        <w:rPr>
          <w:rFonts w:ascii="Times New Roman" w:hAnsi="Times New Roman" w:cs="Times New Roman"/>
        </w:rPr>
        <w:t>s on policy issues impacting young Australians.</w:t>
      </w:r>
    </w:p>
    <w:p w14:paraId="7A06105F" w14:textId="77777777" w:rsidR="00AE3FFE" w:rsidRPr="00AE3FFE" w:rsidRDefault="008662B9" w:rsidP="002D0CB1">
      <w:pPr>
        <w:spacing w:after="120" w:line="240" w:lineRule="auto"/>
        <w:rPr>
          <w:rFonts w:ascii="Times New Roman" w:hAnsi="Times New Roman" w:cs="Times New Roman"/>
        </w:rPr>
      </w:pPr>
      <w:r w:rsidRPr="00AE3FFE">
        <w:rPr>
          <w:rFonts w:ascii="Times New Roman" w:hAnsi="Times New Roman" w:cs="Times New Roman"/>
        </w:rPr>
        <w:t xml:space="preserve">Some parliaments have also looked to establish youth </w:t>
      </w:r>
      <w:r w:rsidR="009D320B" w:rsidRPr="00AE3FFE">
        <w:rPr>
          <w:rFonts w:ascii="Times New Roman" w:hAnsi="Times New Roman" w:cs="Times New Roman"/>
        </w:rPr>
        <w:t>advisory</w:t>
      </w:r>
      <w:r w:rsidRPr="00AE3FFE">
        <w:rPr>
          <w:rFonts w:ascii="Times New Roman" w:hAnsi="Times New Roman" w:cs="Times New Roman"/>
        </w:rPr>
        <w:t xml:space="preserve"> committees to assist in enhancing the quality of youth engagement with parliamentary processes, and to improve the impact </w:t>
      </w:r>
      <w:r w:rsidR="009D320B" w:rsidRPr="00AE3FFE">
        <w:rPr>
          <w:rFonts w:ascii="Times New Roman" w:hAnsi="Times New Roman" w:cs="Times New Roman"/>
        </w:rPr>
        <w:t>of education and outreach programs</w:t>
      </w:r>
      <w:r w:rsidRPr="00AE3FFE">
        <w:rPr>
          <w:rFonts w:ascii="Times New Roman" w:hAnsi="Times New Roman" w:cs="Times New Roman"/>
        </w:rPr>
        <w:t xml:space="preserve">.  An example </w:t>
      </w:r>
      <w:r w:rsidR="009D320B" w:rsidRPr="00AE3FFE">
        <w:rPr>
          <w:rFonts w:ascii="Times New Roman" w:hAnsi="Times New Roman" w:cs="Times New Roman"/>
        </w:rPr>
        <w:t xml:space="preserve">an innovative approach in this area is </w:t>
      </w:r>
      <w:r w:rsidR="00CD6AA3" w:rsidRPr="00AE3FFE">
        <w:rPr>
          <w:rFonts w:ascii="Times New Roman" w:hAnsi="Times New Roman" w:cs="Times New Roman"/>
        </w:rPr>
        <w:t xml:space="preserve">the </w:t>
      </w:r>
      <w:proofErr w:type="spellStart"/>
      <w:r w:rsidR="00CD6AA3" w:rsidRPr="00AE3FFE">
        <w:rPr>
          <w:rFonts w:ascii="Times New Roman" w:hAnsi="Times New Roman" w:cs="Times New Roman"/>
        </w:rPr>
        <w:t>Rito</w:t>
      </w:r>
      <w:proofErr w:type="spellEnd"/>
      <w:r w:rsidR="00CD6AA3" w:rsidRPr="00AE3FFE">
        <w:rPr>
          <w:rFonts w:ascii="Times New Roman" w:hAnsi="Times New Roman" w:cs="Times New Roman"/>
        </w:rPr>
        <w:t xml:space="preserve"> o </w:t>
      </w:r>
      <w:proofErr w:type="spellStart"/>
      <w:r w:rsidR="00CD6AA3" w:rsidRPr="00AE3FFE">
        <w:rPr>
          <w:rFonts w:ascii="Times New Roman" w:hAnsi="Times New Roman" w:cs="Times New Roman"/>
        </w:rPr>
        <w:t>te</w:t>
      </w:r>
      <w:proofErr w:type="spellEnd"/>
      <w:r w:rsidR="00CD6AA3" w:rsidRPr="00AE3FFE">
        <w:rPr>
          <w:rFonts w:ascii="Times New Roman" w:hAnsi="Times New Roman" w:cs="Times New Roman"/>
        </w:rPr>
        <w:t xml:space="preserve"> </w:t>
      </w:r>
      <w:proofErr w:type="spellStart"/>
      <w:r w:rsidR="00CD6AA3" w:rsidRPr="00AE3FFE">
        <w:rPr>
          <w:rFonts w:ascii="Times New Roman" w:hAnsi="Times New Roman" w:cs="Times New Roman"/>
        </w:rPr>
        <w:t>Pāremata</w:t>
      </w:r>
      <w:proofErr w:type="spellEnd"/>
      <w:r w:rsidR="009D320B" w:rsidRPr="00AE3FFE">
        <w:rPr>
          <w:rFonts w:ascii="Times New Roman" w:hAnsi="Times New Roman" w:cs="Times New Roman"/>
        </w:rPr>
        <w:t xml:space="preserve"> program hosted by the New Zealand Parliament. </w:t>
      </w:r>
    </w:p>
    <w:p w14:paraId="3C4F499F" w14:textId="26BADA86" w:rsidR="009D320B" w:rsidRPr="00AE3FFE" w:rsidRDefault="009D320B" w:rsidP="002D0CB1">
      <w:pPr>
        <w:pStyle w:val="Quote"/>
        <w:spacing w:after="120"/>
      </w:pPr>
      <w:proofErr w:type="spellStart"/>
      <w:r w:rsidRPr="00AE3FFE">
        <w:t>Rito</w:t>
      </w:r>
      <w:proofErr w:type="spellEnd"/>
      <w:r w:rsidRPr="00AE3FFE">
        <w:t xml:space="preserve"> is the name for the new shoots in harakeke flax. Harakeke </w:t>
      </w:r>
      <w:proofErr w:type="gramStart"/>
      <w:r w:rsidRPr="00AE3FFE">
        <w:t>grow</w:t>
      </w:r>
      <w:proofErr w:type="gramEnd"/>
      <w:r w:rsidRPr="00AE3FFE">
        <w:t xml:space="preserve"> new shoots from the middle of the plant, protected by the more mature leaves on either side. The </w:t>
      </w:r>
      <w:proofErr w:type="spellStart"/>
      <w:r w:rsidRPr="00AE3FFE">
        <w:t>rito</w:t>
      </w:r>
      <w:proofErr w:type="spellEnd"/>
      <w:r w:rsidRPr="00AE3FFE">
        <w:t xml:space="preserve"> eventually become the mature leaves taking care of the new shoots. </w:t>
      </w:r>
      <w:r w:rsidR="00AE3FFE" w:rsidRPr="00AE3FFE">
        <w:t xml:space="preserve">… </w:t>
      </w:r>
      <w:r w:rsidRPr="00AE3FFE">
        <w:t>The name ‘</w:t>
      </w:r>
      <w:proofErr w:type="spellStart"/>
      <w:r w:rsidRPr="00AE3FFE">
        <w:t>Rito</w:t>
      </w:r>
      <w:proofErr w:type="spellEnd"/>
      <w:r w:rsidRPr="00AE3FFE">
        <w:t xml:space="preserve">’ was chosen to </w:t>
      </w:r>
      <w:proofErr w:type="spellStart"/>
      <w:r w:rsidRPr="00AE3FFE">
        <w:t>symbolise</w:t>
      </w:r>
      <w:proofErr w:type="spellEnd"/>
      <w:r w:rsidRPr="00AE3FFE">
        <w:t xml:space="preserve"> the envisioned life cycle of the group – existing members nurturing new ones.</w:t>
      </w:r>
    </w:p>
    <w:p w14:paraId="1CD0DC6B" w14:textId="64FD956C" w:rsidR="00CD6AA3" w:rsidRPr="006E04A8" w:rsidRDefault="009F7CA0" w:rsidP="006E04A8">
      <w:pPr>
        <w:spacing w:after="120" w:line="240" w:lineRule="auto"/>
        <w:jc w:val="both"/>
        <w:rPr>
          <w:rFonts w:ascii="Times New Roman" w:hAnsi="Times New Roman" w:cs="Times New Roman"/>
        </w:rPr>
      </w:pPr>
      <w:r w:rsidRPr="006E04A8">
        <w:rPr>
          <w:rFonts w:ascii="Times New Roman" w:hAnsi="Times New Roman" w:cs="Times New Roman"/>
        </w:rPr>
        <w:t xml:space="preserve">Young New Zealanders were directly involved in the design of the </w:t>
      </w:r>
      <w:proofErr w:type="spellStart"/>
      <w:r w:rsidRPr="006E04A8">
        <w:rPr>
          <w:rFonts w:ascii="Times New Roman" w:hAnsi="Times New Roman" w:cs="Times New Roman"/>
        </w:rPr>
        <w:t>Rito</w:t>
      </w:r>
      <w:proofErr w:type="spellEnd"/>
      <w:r w:rsidRPr="006E04A8">
        <w:rPr>
          <w:rFonts w:ascii="Times New Roman" w:hAnsi="Times New Roman" w:cs="Times New Roman"/>
        </w:rPr>
        <w:t xml:space="preserve"> program which </w:t>
      </w:r>
      <w:r w:rsidR="00D930AD" w:rsidRPr="006E04A8">
        <w:rPr>
          <w:rFonts w:ascii="Times New Roman" w:hAnsi="Times New Roman" w:cs="Times New Roman"/>
        </w:rPr>
        <w:t>recognises the deficits of conventional engagement approaches designed by adults and aims to be authentically co-designed in approach</w:t>
      </w:r>
      <w:r w:rsidR="00837670" w:rsidRPr="006E04A8">
        <w:rPr>
          <w:rFonts w:ascii="Times New Roman" w:hAnsi="Times New Roman" w:cs="Times New Roman"/>
        </w:rPr>
        <w:t xml:space="preserve">.  The pilot </w:t>
      </w:r>
      <w:proofErr w:type="spellStart"/>
      <w:r w:rsidR="00837670" w:rsidRPr="006E04A8">
        <w:rPr>
          <w:rFonts w:ascii="Times New Roman" w:hAnsi="Times New Roman" w:cs="Times New Roman"/>
        </w:rPr>
        <w:t>Rito</w:t>
      </w:r>
      <w:proofErr w:type="spellEnd"/>
      <w:r w:rsidR="00837670" w:rsidRPr="006E04A8">
        <w:rPr>
          <w:rFonts w:ascii="Times New Roman" w:hAnsi="Times New Roman" w:cs="Times New Roman"/>
        </w:rPr>
        <w:t xml:space="preserve"> group conceptualised, developed, and produced </w:t>
      </w:r>
      <w:proofErr w:type="spellStart"/>
      <w:r w:rsidR="00837670" w:rsidRPr="006E04A8">
        <w:rPr>
          <w:rFonts w:ascii="Times New Roman" w:hAnsi="Times New Roman" w:cs="Times New Roman"/>
        </w:rPr>
        <w:t>Rarapa</w:t>
      </w:r>
      <w:proofErr w:type="spellEnd"/>
      <w:r w:rsidR="00837670" w:rsidRPr="006E04A8">
        <w:rPr>
          <w:rFonts w:ascii="Times New Roman" w:hAnsi="Times New Roman" w:cs="Times New Roman"/>
        </w:rPr>
        <w:t xml:space="preserve">, a four-part video series that shines a light on the different ways New Zealand </w:t>
      </w:r>
      <w:proofErr w:type="spellStart"/>
      <w:r w:rsidR="00837670" w:rsidRPr="006E04A8">
        <w:rPr>
          <w:rFonts w:ascii="Times New Roman" w:hAnsi="Times New Roman" w:cs="Times New Roman"/>
        </w:rPr>
        <w:t>rangatahi</w:t>
      </w:r>
      <w:proofErr w:type="spellEnd"/>
      <w:r w:rsidR="00837670" w:rsidRPr="006E04A8">
        <w:rPr>
          <w:rFonts w:ascii="Times New Roman" w:hAnsi="Times New Roman" w:cs="Times New Roman"/>
        </w:rPr>
        <w:t xml:space="preserve"> can engage with Parliament.  Following the success of the pilot, the New Zealand Parliament sought applications from </w:t>
      </w:r>
      <w:r w:rsidR="00D930AD" w:rsidRPr="006E04A8">
        <w:rPr>
          <w:rFonts w:ascii="Times New Roman" w:hAnsi="Times New Roman" w:cs="Times New Roman"/>
        </w:rPr>
        <w:t xml:space="preserve">young people </w:t>
      </w:r>
      <w:r w:rsidR="006E04A8" w:rsidRPr="006E04A8">
        <w:rPr>
          <w:rFonts w:ascii="Times New Roman" w:hAnsi="Times New Roman" w:cs="Times New Roman"/>
        </w:rPr>
        <w:t xml:space="preserve">aged 16 to 20 years </w:t>
      </w:r>
      <w:r w:rsidR="00D930AD" w:rsidRPr="006E04A8">
        <w:rPr>
          <w:rFonts w:ascii="Times New Roman" w:hAnsi="Times New Roman" w:cs="Times New Roman"/>
        </w:rPr>
        <w:t xml:space="preserve">to provide </w:t>
      </w:r>
      <w:proofErr w:type="spellStart"/>
      <w:r w:rsidR="00D930AD" w:rsidRPr="006E04A8">
        <w:rPr>
          <w:rFonts w:ascii="Times New Roman" w:hAnsi="Times New Roman" w:cs="Times New Roman"/>
        </w:rPr>
        <w:t>advise</w:t>
      </w:r>
      <w:proofErr w:type="spellEnd"/>
      <w:r w:rsidR="00D930AD" w:rsidRPr="006E04A8">
        <w:rPr>
          <w:rFonts w:ascii="Times New Roman" w:hAnsi="Times New Roman" w:cs="Times New Roman"/>
        </w:rPr>
        <w:t xml:space="preserve"> to </w:t>
      </w:r>
      <w:r w:rsidR="00CD6AA3" w:rsidRPr="006E04A8">
        <w:rPr>
          <w:rFonts w:ascii="Times New Roman" w:hAnsi="Times New Roman" w:cs="Times New Roman"/>
        </w:rPr>
        <w:t xml:space="preserve">the Office of the Clerk and the Parliamentary Service on how to engage with youth in Aotearoa.  </w:t>
      </w:r>
      <w:r w:rsidR="00A27A57" w:rsidRPr="006E04A8">
        <w:rPr>
          <w:rFonts w:ascii="Times New Roman" w:hAnsi="Times New Roman" w:cs="Times New Roman"/>
        </w:rPr>
        <w:t xml:space="preserve">Members of the </w:t>
      </w:r>
      <w:proofErr w:type="spellStart"/>
      <w:r w:rsidR="00CD6AA3" w:rsidRPr="006E04A8">
        <w:rPr>
          <w:rFonts w:ascii="Times New Roman" w:hAnsi="Times New Roman" w:cs="Times New Roman"/>
        </w:rPr>
        <w:t>Rito</w:t>
      </w:r>
      <w:proofErr w:type="spellEnd"/>
      <w:r w:rsidR="00CD6AA3" w:rsidRPr="006E04A8">
        <w:rPr>
          <w:rFonts w:ascii="Times New Roman" w:hAnsi="Times New Roman" w:cs="Times New Roman"/>
        </w:rPr>
        <w:t xml:space="preserve"> team develop and promote a project of their choice, with the aim of increasing youth awareness of, and participation with, Parliament.</w:t>
      </w:r>
      <w:r w:rsidR="00583CF9" w:rsidRPr="006E04A8">
        <w:rPr>
          <w:rFonts w:ascii="Times New Roman" w:hAnsi="Times New Roman" w:cs="Times New Roman"/>
        </w:rPr>
        <w:t xml:space="preserve">  </w:t>
      </w:r>
      <w:proofErr w:type="spellStart"/>
      <w:r w:rsidR="002376DE">
        <w:rPr>
          <w:rFonts w:ascii="Times New Roman" w:hAnsi="Times New Roman" w:cs="Times New Roman"/>
        </w:rPr>
        <w:t>Rito</w:t>
      </w:r>
      <w:proofErr w:type="spellEnd"/>
      <w:r w:rsidR="002376DE">
        <w:rPr>
          <w:rFonts w:ascii="Times New Roman" w:hAnsi="Times New Roman" w:cs="Times New Roman"/>
        </w:rPr>
        <w:t xml:space="preserve"> team members</w:t>
      </w:r>
      <w:r w:rsidR="00583CF9" w:rsidRPr="006E04A8">
        <w:rPr>
          <w:rFonts w:ascii="Times New Roman" w:hAnsi="Times New Roman" w:cs="Times New Roman"/>
        </w:rPr>
        <w:t xml:space="preserve"> also </w:t>
      </w:r>
      <w:r w:rsidR="00CD6AA3" w:rsidRPr="006E04A8">
        <w:rPr>
          <w:rFonts w:ascii="Times New Roman" w:hAnsi="Times New Roman" w:cs="Times New Roman"/>
        </w:rPr>
        <w:t>provide feedback on youth-focussed resources that Parliament produces, represent young people in their communities, and promote the work of Parliament.</w:t>
      </w:r>
      <w:r w:rsidR="00583CF9" w:rsidRPr="006E04A8">
        <w:rPr>
          <w:rFonts w:ascii="Times New Roman" w:hAnsi="Times New Roman" w:cs="Times New Roman"/>
        </w:rPr>
        <w:t xml:space="preserve">  </w:t>
      </w:r>
      <w:proofErr w:type="spellStart"/>
      <w:r w:rsidR="00583CF9" w:rsidRPr="006E04A8">
        <w:rPr>
          <w:rFonts w:ascii="Times New Roman" w:hAnsi="Times New Roman" w:cs="Times New Roman"/>
        </w:rPr>
        <w:t>Rito</w:t>
      </w:r>
      <w:proofErr w:type="spellEnd"/>
      <w:r w:rsidR="00583CF9" w:rsidRPr="006E04A8">
        <w:rPr>
          <w:rFonts w:ascii="Times New Roman" w:hAnsi="Times New Roman" w:cs="Times New Roman"/>
        </w:rPr>
        <w:t xml:space="preserve"> team members are also paid and supported to travel to Wellington from regional areas. </w:t>
      </w:r>
    </w:p>
    <w:p w14:paraId="01CFF1CE" w14:textId="6B1B4569" w:rsidR="00204F32" w:rsidRDefault="00204F32" w:rsidP="002D0CB1">
      <w:pPr>
        <w:spacing w:after="120" w:line="240" w:lineRule="auto"/>
        <w:jc w:val="both"/>
        <w:rPr>
          <w:rFonts w:ascii="Times New Roman" w:hAnsi="Times New Roman" w:cs="Times New Roman"/>
        </w:rPr>
      </w:pPr>
      <w:r>
        <w:rPr>
          <w:rFonts w:ascii="Times New Roman" w:hAnsi="Times New Roman" w:cs="Times New Roman"/>
        </w:rPr>
        <w:t xml:space="preserve">These youth advisory bodies and forums provide critical communities for key decision makers to </w:t>
      </w:r>
      <w:r w:rsidR="00CC1350">
        <w:rPr>
          <w:rFonts w:ascii="Times New Roman" w:hAnsi="Times New Roman" w:cs="Times New Roman"/>
        </w:rPr>
        <w:t xml:space="preserve">engage in democratic listening and have the potential to move beyond the ‘information’ stage of the democratic engagement journey outlined by Leston Bandeira.  </w:t>
      </w:r>
      <w:r>
        <w:rPr>
          <w:rFonts w:ascii="Times New Roman" w:hAnsi="Times New Roman" w:cs="Times New Roman"/>
        </w:rPr>
        <w:t xml:space="preserve">However, as explored below, there remain challenges when it comes to ensuring that these approaches move beyond an </w:t>
      </w:r>
      <w:r>
        <w:rPr>
          <w:rFonts w:ascii="Times New Roman" w:hAnsi="Times New Roman" w:cs="Times New Roman"/>
          <w:i/>
          <w:iCs/>
        </w:rPr>
        <w:t xml:space="preserve">advisory </w:t>
      </w:r>
      <w:r>
        <w:rPr>
          <w:rFonts w:ascii="Times New Roman" w:hAnsi="Times New Roman" w:cs="Times New Roman"/>
        </w:rPr>
        <w:t xml:space="preserve">model (wherein young people are consulted with respect to government proposals or to gauge their reaction to government decision making) to a model where young people can </w:t>
      </w:r>
      <w:proofErr w:type="gramStart"/>
      <w:r>
        <w:rPr>
          <w:rFonts w:ascii="Times New Roman" w:hAnsi="Times New Roman" w:cs="Times New Roman"/>
        </w:rPr>
        <w:t xml:space="preserve">actually </w:t>
      </w:r>
      <w:r>
        <w:rPr>
          <w:rFonts w:ascii="Times New Roman" w:hAnsi="Times New Roman" w:cs="Times New Roman"/>
          <w:i/>
          <w:iCs/>
        </w:rPr>
        <w:t>influence</w:t>
      </w:r>
      <w:proofErr w:type="gramEnd"/>
      <w:r>
        <w:rPr>
          <w:rFonts w:ascii="Times New Roman" w:hAnsi="Times New Roman" w:cs="Times New Roman"/>
          <w:i/>
          <w:iCs/>
        </w:rPr>
        <w:t xml:space="preserve"> and impact </w:t>
      </w:r>
      <w:r>
        <w:rPr>
          <w:rFonts w:ascii="Times New Roman" w:hAnsi="Times New Roman" w:cs="Times New Roman"/>
        </w:rPr>
        <w:t>the shape of legislation, public policy or government decision making.  There also remain challenges associated with ensuring youth advisory councils and other forums designed to listen to youth voices are demographically diverse, and inclusive of traditionally marginalised and excluded communities.</w:t>
      </w:r>
    </w:p>
    <w:p w14:paraId="74446DFE" w14:textId="15EECA49" w:rsidR="00EE228F" w:rsidRPr="006F3A5D" w:rsidRDefault="004E56E2" w:rsidP="002376DE">
      <w:pPr>
        <w:pStyle w:val="Heading3"/>
      </w:pPr>
      <w:r w:rsidRPr="006F3A5D">
        <w:t xml:space="preserve">Youth Led </w:t>
      </w:r>
      <w:r w:rsidR="002111DD" w:rsidRPr="006F3A5D">
        <w:t xml:space="preserve">Electoral Reform: </w:t>
      </w:r>
      <w:r w:rsidRPr="006F3A5D">
        <w:t>Extending Franchise to Young People</w:t>
      </w:r>
    </w:p>
    <w:p w14:paraId="55D23B25" w14:textId="6A22BB65" w:rsidR="00752DF2" w:rsidRPr="00CF19E5" w:rsidRDefault="00D114B4" w:rsidP="00752DF2">
      <w:pPr>
        <w:pStyle w:val="Default"/>
        <w:spacing w:after="120"/>
        <w:jc w:val="both"/>
        <w:rPr>
          <w:sz w:val="22"/>
          <w:szCs w:val="22"/>
        </w:rPr>
      </w:pPr>
      <w:r w:rsidRPr="00CA74B8">
        <w:rPr>
          <w:sz w:val="22"/>
          <w:szCs w:val="22"/>
        </w:rPr>
        <w:t>As noted above, y</w:t>
      </w:r>
      <w:r w:rsidR="00752DF2" w:rsidRPr="00CA74B8">
        <w:rPr>
          <w:sz w:val="22"/>
          <w:szCs w:val="22"/>
        </w:rPr>
        <w:t xml:space="preserve">oung </w:t>
      </w:r>
      <w:r w:rsidRPr="00CA74B8">
        <w:rPr>
          <w:sz w:val="22"/>
          <w:szCs w:val="22"/>
        </w:rPr>
        <w:t>people and children care de</w:t>
      </w:r>
      <w:r w:rsidR="00752DF2" w:rsidRPr="00CA74B8">
        <w:rPr>
          <w:sz w:val="22"/>
          <w:szCs w:val="22"/>
        </w:rPr>
        <w:t xml:space="preserve">eply about our collective future and want to be more informed and involved in democratic decision making. </w:t>
      </w:r>
      <w:r w:rsidR="00752DF2" w:rsidRPr="00CA74B8">
        <w:rPr>
          <w:rStyle w:val="cf01"/>
          <w:rFonts w:ascii="Times New Roman" w:hAnsi="Times New Roman" w:cs="Times New Roman"/>
          <w:sz w:val="22"/>
          <w:szCs w:val="22"/>
        </w:rPr>
        <w:t xml:space="preserve">They care about local and global communities and have ideas about what is working well and what needs to change. However, they face a range of barriers when it comes to participating in and exercising power within conventional democratic systems, and as a result their voices are often not heard, </w:t>
      </w:r>
      <w:proofErr w:type="gramStart"/>
      <w:r w:rsidR="00752DF2" w:rsidRPr="00CA74B8">
        <w:rPr>
          <w:rStyle w:val="cf01"/>
          <w:rFonts w:ascii="Times New Roman" w:hAnsi="Times New Roman" w:cs="Times New Roman"/>
          <w:sz w:val="22"/>
          <w:szCs w:val="22"/>
        </w:rPr>
        <w:t>respected</w:t>
      </w:r>
      <w:proofErr w:type="gramEnd"/>
      <w:r w:rsidR="00752DF2" w:rsidRPr="00CA74B8">
        <w:rPr>
          <w:rStyle w:val="cf01"/>
          <w:rFonts w:ascii="Times New Roman" w:hAnsi="Times New Roman" w:cs="Times New Roman"/>
          <w:sz w:val="22"/>
          <w:szCs w:val="22"/>
        </w:rPr>
        <w:t xml:space="preserve"> or valued.  Many young people do not </w:t>
      </w:r>
      <w:r w:rsidR="00752DF2" w:rsidRPr="00CA74B8">
        <w:rPr>
          <w:rFonts w:eastAsia="Times New Roman"/>
          <w:sz w:val="22"/>
          <w:szCs w:val="22"/>
          <w:lang w:eastAsia="en-AU"/>
          <w14:ligatures w14:val="none"/>
        </w:rPr>
        <w:t>see themselves represented by current political</w:t>
      </w:r>
      <w:r w:rsidR="00752DF2" w:rsidRPr="00744A14">
        <w:rPr>
          <w:rFonts w:eastAsia="Times New Roman"/>
          <w:sz w:val="22"/>
          <w:szCs w:val="22"/>
          <w:lang w:eastAsia="en-AU"/>
          <w14:ligatures w14:val="none"/>
        </w:rPr>
        <w:t xml:space="preserve"> leaders</w:t>
      </w:r>
      <w:r w:rsidR="00752DF2" w:rsidRPr="00B1284E">
        <w:rPr>
          <w:rFonts w:eastAsia="Times New Roman"/>
          <w:sz w:val="22"/>
          <w:szCs w:val="22"/>
          <w:lang w:eastAsia="en-AU"/>
          <w14:ligatures w14:val="none"/>
        </w:rPr>
        <w:t xml:space="preserve"> and t</w:t>
      </w:r>
      <w:r w:rsidR="00752DF2" w:rsidRPr="00744A14">
        <w:rPr>
          <w:rFonts w:eastAsia="Times New Roman"/>
          <w:sz w:val="22"/>
          <w:szCs w:val="22"/>
          <w:lang w:eastAsia="en-AU"/>
          <w14:ligatures w14:val="none"/>
        </w:rPr>
        <w:t xml:space="preserve">hey have limited opportunities to influence decisions that affect </w:t>
      </w:r>
      <w:r w:rsidR="00752DF2" w:rsidRPr="00744A14">
        <w:rPr>
          <w:rFonts w:eastAsia="Times New Roman"/>
          <w:sz w:val="22"/>
          <w:szCs w:val="22"/>
          <w:lang w:eastAsia="en-AU"/>
          <w14:ligatures w14:val="none"/>
        </w:rPr>
        <w:lastRenderedPageBreak/>
        <w:t>their lives. Government-led processes</w:t>
      </w:r>
      <w:r w:rsidR="00752DF2" w:rsidRPr="00B1284E">
        <w:rPr>
          <w:rFonts w:eastAsia="Times New Roman"/>
          <w:sz w:val="22"/>
          <w:szCs w:val="22"/>
          <w:lang w:eastAsia="en-AU"/>
          <w14:ligatures w14:val="none"/>
        </w:rPr>
        <w:t xml:space="preserve"> designed to ‘engage’ with young people</w:t>
      </w:r>
      <w:r w:rsidR="00752DF2" w:rsidRPr="00744A14">
        <w:rPr>
          <w:rFonts w:eastAsia="Times New Roman"/>
          <w:sz w:val="22"/>
          <w:szCs w:val="22"/>
          <w:lang w:eastAsia="en-AU"/>
          <w14:ligatures w14:val="none"/>
        </w:rPr>
        <w:t xml:space="preserve"> are inaccessible to most children and young people</w:t>
      </w:r>
      <w:r w:rsidR="00752DF2" w:rsidRPr="00B1284E">
        <w:rPr>
          <w:rFonts w:eastAsia="Times New Roman"/>
          <w:sz w:val="22"/>
          <w:szCs w:val="22"/>
          <w:lang w:eastAsia="en-AU"/>
          <w14:ligatures w14:val="none"/>
        </w:rPr>
        <w:t>, particular those from lower socio-economic backgrounds and when</w:t>
      </w:r>
      <w:r w:rsidR="00752DF2" w:rsidRPr="00744A14">
        <w:rPr>
          <w:rFonts w:eastAsia="Times New Roman"/>
          <w:sz w:val="22"/>
          <w:szCs w:val="22"/>
          <w:lang w:eastAsia="en-AU"/>
          <w14:ligatures w14:val="none"/>
        </w:rPr>
        <w:t xml:space="preserve"> young people do participate, they do</w:t>
      </w:r>
      <w:r w:rsidR="00752DF2" w:rsidRPr="00B1284E">
        <w:rPr>
          <w:rFonts w:eastAsia="Times New Roman"/>
          <w:sz w:val="22"/>
          <w:szCs w:val="22"/>
          <w:lang w:eastAsia="en-AU"/>
          <w14:ligatures w14:val="none"/>
        </w:rPr>
        <w:t xml:space="preserve"> no</w:t>
      </w:r>
      <w:r w:rsidR="00752DF2" w:rsidRPr="00744A14">
        <w:rPr>
          <w:rFonts w:eastAsia="Times New Roman"/>
          <w:sz w:val="22"/>
          <w:szCs w:val="22"/>
          <w:lang w:eastAsia="en-AU"/>
          <w14:ligatures w14:val="none"/>
        </w:rPr>
        <w:t xml:space="preserve">t always see action or hear </w:t>
      </w:r>
      <w:proofErr w:type="gramStart"/>
      <w:r w:rsidR="00752DF2" w:rsidRPr="00744A14">
        <w:rPr>
          <w:rFonts w:eastAsia="Times New Roman"/>
          <w:sz w:val="22"/>
          <w:szCs w:val="22"/>
          <w:lang w:eastAsia="en-AU"/>
          <w14:ligatures w14:val="none"/>
        </w:rPr>
        <w:t>back</w:t>
      </w:r>
      <w:proofErr w:type="gramEnd"/>
      <w:r w:rsidR="00752DF2" w:rsidRPr="00744A14">
        <w:rPr>
          <w:rFonts w:eastAsia="Times New Roman"/>
          <w:sz w:val="22"/>
          <w:szCs w:val="22"/>
          <w:lang w:eastAsia="en-AU"/>
          <w14:ligatures w14:val="none"/>
        </w:rPr>
        <w:t xml:space="preserve"> and their contributions are rarely regarded as equal to those of adults.</w:t>
      </w:r>
      <w:r w:rsidR="00752DF2" w:rsidRPr="0013258E">
        <w:rPr>
          <w:rStyle w:val="cf01"/>
          <w:rFonts w:eastAsiaTheme="majorEastAsia"/>
          <w:sz w:val="22"/>
          <w:szCs w:val="22"/>
        </w:rPr>
        <w:t xml:space="preserve"> </w:t>
      </w:r>
      <w:r w:rsidR="00CA74B8">
        <w:rPr>
          <w:rStyle w:val="cf01"/>
          <w:rFonts w:eastAsiaTheme="majorEastAsia"/>
          <w:sz w:val="22"/>
          <w:szCs w:val="22"/>
        </w:rPr>
        <w:t xml:space="preserve"> </w:t>
      </w:r>
      <w:r w:rsidR="00752DF2">
        <w:rPr>
          <w:sz w:val="22"/>
          <w:szCs w:val="22"/>
        </w:rPr>
        <w:t xml:space="preserve">One </w:t>
      </w:r>
      <w:r w:rsidR="00752DF2" w:rsidRPr="00CF19E5">
        <w:rPr>
          <w:sz w:val="22"/>
          <w:szCs w:val="22"/>
        </w:rPr>
        <w:t xml:space="preserve">of the strategies available to governments to address </w:t>
      </w:r>
      <w:r w:rsidR="00752DF2">
        <w:rPr>
          <w:sz w:val="22"/>
          <w:szCs w:val="22"/>
        </w:rPr>
        <w:t xml:space="preserve">lack of political empowerment and improve the quality of the connection between young people and democratic institutions is to </w:t>
      </w:r>
      <w:r w:rsidR="00752DF2" w:rsidRPr="00CF19E5">
        <w:rPr>
          <w:sz w:val="22"/>
          <w:szCs w:val="22"/>
        </w:rPr>
        <w:t xml:space="preserve">extend voting rights in elections to </w:t>
      </w:r>
      <w:proofErr w:type="gramStart"/>
      <w:r w:rsidR="00752DF2" w:rsidRPr="00CF19E5">
        <w:rPr>
          <w:sz w:val="22"/>
          <w:szCs w:val="22"/>
        </w:rPr>
        <w:t>16 and 17 year olds</w:t>
      </w:r>
      <w:proofErr w:type="gramEnd"/>
      <w:r w:rsidR="003C6ED6">
        <w:rPr>
          <w:sz w:val="22"/>
          <w:szCs w:val="22"/>
        </w:rPr>
        <w:t xml:space="preserve">, and to facilitate direct election of youth </w:t>
      </w:r>
      <w:r w:rsidR="00CA74B8">
        <w:rPr>
          <w:sz w:val="22"/>
          <w:szCs w:val="22"/>
        </w:rPr>
        <w:t>representatives</w:t>
      </w:r>
      <w:r w:rsidR="003C6ED6">
        <w:rPr>
          <w:sz w:val="22"/>
          <w:szCs w:val="22"/>
        </w:rPr>
        <w:t xml:space="preserve"> to other </w:t>
      </w:r>
      <w:r w:rsidR="00CA74B8">
        <w:rPr>
          <w:sz w:val="22"/>
          <w:szCs w:val="22"/>
        </w:rPr>
        <w:t xml:space="preserve">deliberative </w:t>
      </w:r>
      <w:r w:rsidR="003C6ED6">
        <w:rPr>
          <w:sz w:val="22"/>
          <w:szCs w:val="22"/>
        </w:rPr>
        <w:t xml:space="preserve">forums, including </w:t>
      </w:r>
      <w:r w:rsidR="00CA74B8">
        <w:rPr>
          <w:sz w:val="22"/>
          <w:szCs w:val="22"/>
        </w:rPr>
        <w:t>youth parliaments.</w:t>
      </w:r>
      <w:r w:rsidR="00752DF2" w:rsidRPr="00CF19E5">
        <w:rPr>
          <w:sz w:val="22"/>
          <w:szCs w:val="22"/>
        </w:rPr>
        <w:t xml:space="preserve"> </w:t>
      </w:r>
    </w:p>
    <w:p w14:paraId="570C4311" w14:textId="4A3DD112" w:rsidR="00F1144D" w:rsidRPr="00CF19E5" w:rsidRDefault="00F1144D" w:rsidP="002D0CB1">
      <w:pPr>
        <w:pStyle w:val="Default"/>
        <w:spacing w:after="120"/>
        <w:jc w:val="both"/>
        <w:rPr>
          <w:color w:val="auto"/>
          <w:kern w:val="2"/>
          <w:sz w:val="22"/>
          <w:szCs w:val="22"/>
        </w:rPr>
      </w:pPr>
      <w:r w:rsidRPr="00CF19E5">
        <w:rPr>
          <w:color w:val="auto"/>
          <w:kern w:val="2"/>
          <w:sz w:val="22"/>
          <w:szCs w:val="22"/>
        </w:rPr>
        <w:t xml:space="preserve">In his 2012 paper on the politics of lowering the voting age in Australia, Professor Ian McAllister </w:t>
      </w:r>
      <w:r w:rsidR="002376DE">
        <w:rPr>
          <w:color w:val="auto"/>
          <w:kern w:val="2"/>
          <w:sz w:val="22"/>
          <w:szCs w:val="22"/>
        </w:rPr>
        <w:t xml:space="preserve">(2012) </w:t>
      </w:r>
      <w:r w:rsidRPr="00CF19E5">
        <w:rPr>
          <w:color w:val="auto"/>
          <w:kern w:val="2"/>
          <w:sz w:val="22"/>
          <w:szCs w:val="22"/>
        </w:rPr>
        <w:t xml:space="preserve">outlined the arguments for extending the franchise, being: equity; political participation; and political maturity.  </w:t>
      </w:r>
      <w:r>
        <w:rPr>
          <w:color w:val="auto"/>
          <w:kern w:val="2"/>
          <w:sz w:val="22"/>
          <w:szCs w:val="22"/>
        </w:rPr>
        <w:t>T</w:t>
      </w:r>
      <w:r w:rsidRPr="00CF19E5">
        <w:rPr>
          <w:color w:val="auto"/>
          <w:kern w:val="2"/>
          <w:sz w:val="22"/>
          <w:szCs w:val="22"/>
        </w:rPr>
        <w:t xml:space="preserve">hese arguments </w:t>
      </w:r>
      <w:r>
        <w:rPr>
          <w:color w:val="auto"/>
          <w:kern w:val="2"/>
          <w:sz w:val="22"/>
          <w:szCs w:val="22"/>
        </w:rPr>
        <w:t>are</w:t>
      </w:r>
      <w:r w:rsidRPr="00CF19E5">
        <w:rPr>
          <w:color w:val="auto"/>
          <w:kern w:val="2"/>
          <w:sz w:val="22"/>
          <w:szCs w:val="22"/>
        </w:rPr>
        <w:t xml:space="preserve"> just as compelling in 2024.  When it comes to ‘equity’, the post-war arguments for lowering the voting age from 21 to 18 centred on the fact that </w:t>
      </w:r>
      <w:proofErr w:type="gramStart"/>
      <w:r w:rsidRPr="00CF19E5">
        <w:rPr>
          <w:color w:val="auto"/>
          <w:kern w:val="2"/>
          <w:sz w:val="22"/>
          <w:szCs w:val="22"/>
        </w:rPr>
        <w:t>18 year olds</w:t>
      </w:r>
      <w:proofErr w:type="gramEnd"/>
      <w:r w:rsidRPr="00CF19E5">
        <w:rPr>
          <w:color w:val="auto"/>
          <w:kern w:val="2"/>
          <w:sz w:val="22"/>
          <w:szCs w:val="22"/>
        </w:rPr>
        <w:t xml:space="preserve"> were old enough to fight and die but not vote. This argument gained traction internationally in the 1960s with the rise of civil rights and the mass youth casualties of the Vietnam War.</w:t>
      </w:r>
      <w:hyperlink r:id="rId7" w:anchor="footnote7target" w:history="1"/>
    </w:p>
    <w:p w14:paraId="0C75C423" w14:textId="20CF64C7" w:rsidR="00F1144D" w:rsidRPr="00CF19E5" w:rsidRDefault="00F1144D" w:rsidP="002D0CB1">
      <w:pPr>
        <w:pStyle w:val="Default"/>
        <w:spacing w:after="120"/>
        <w:jc w:val="both"/>
        <w:rPr>
          <w:color w:val="auto"/>
          <w:kern w:val="2"/>
          <w:sz w:val="22"/>
          <w:szCs w:val="22"/>
        </w:rPr>
      </w:pPr>
      <w:r w:rsidRPr="00CF19E5">
        <w:rPr>
          <w:color w:val="auto"/>
          <w:kern w:val="2"/>
          <w:sz w:val="22"/>
          <w:szCs w:val="22"/>
        </w:rPr>
        <w:t xml:space="preserve">The modern equity arguments centre on employment, taxation and intergenerational equity, with many advocates for lowering the voting age noting that large numbers of </w:t>
      </w:r>
      <w:proofErr w:type="gramStart"/>
      <w:r w:rsidRPr="00CF19E5">
        <w:rPr>
          <w:color w:val="auto"/>
          <w:kern w:val="2"/>
          <w:sz w:val="22"/>
          <w:szCs w:val="22"/>
        </w:rPr>
        <w:t>16 and 17 year olds</w:t>
      </w:r>
      <w:proofErr w:type="gramEnd"/>
      <w:r w:rsidRPr="00CF19E5">
        <w:rPr>
          <w:color w:val="auto"/>
          <w:kern w:val="2"/>
          <w:sz w:val="22"/>
          <w:szCs w:val="22"/>
        </w:rPr>
        <w:t xml:space="preserve"> work, pay tax, drive cars, care for siblings and parents, and face more challenging economic, social and environmental conditions that ever before.  As the Student Representative Council of South Australia</w:t>
      </w:r>
      <w:r w:rsidR="00F543E2">
        <w:rPr>
          <w:color w:val="auto"/>
          <w:kern w:val="2"/>
          <w:sz w:val="22"/>
          <w:szCs w:val="22"/>
        </w:rPr>
        <w:t xml:space="preserve"> (2024)</w:t>
      </w:r>
      <w:r w:rsidRPr="00CF19E5">
        <w:rPr>
          <w:color w:val="auto"/>
          <w:kern w:val="2"/>
          <w:sz w:val="22"/>
          <w:szCs w:val="22"/>
        </w:rPr>
        <w:t xml:space="preserve"> has explained:</w:t>
      </w:r>
    </w:p>
    <w:p w14:paraId="1CF227D7" w14:textId="77777777" w:rsidR="00F1144D" w:rsidRPr="00CF19E5" w:rsidRDefault="00F1144D" w:rsidP="002D0CB1">
      <w:pPr>
        <w:pStyle w:val="Quote"/>
        <w:spacing w:after="120"/>
      </w:pPr>
      <w:r w:rsidRPr="00CF19E5">
        <w:t>The voting age has changed throughout history, and should continue to evolve to reflect the roles, responsibilities, and expectations of young people today. Arguments against lowering the age tend to imply that voting requires a certain level of knowledge, maturity, and judgment, however such a standard is rarely applied to adult voters.</w:t>
      </w:r>
    </w:p>
    <w:p w14:paraId="10EF34A1" w14:textId="77777777" w:rsidR="00F1144D" w:rsidRPr="00CF19E5" w:rsidRDefault="00F1144D" w:rsidP="002D0CB1">
      <w:pPr>
        <w:pStyle w:val="Default"/>
        <w:spacing w:after="120"/>
        <w:jc w:val="both"/>
        <w:rPr>
          <w:sz w:val="22"/>
          <w:szCs w:val="22"/>
        </w:rPr>
      </w:pPr>
      <w:r w:rsidRPr="00CF19E5">
        <w:rPr>
          <w:color w:val="auto"/>
          <w:kern w:val="2"/>
          <w:sz w:val="22"/>
          <w:szCs w:val="22"/>
        </w:rPr>
        <w:t xml:space="preserve">This sentiment was also echoed by </w:t>
      </w:r>
      <w:r w:rsidRPr="00CF19E5">
        <w:rPr>
          <w:sz w:val="22"/>
          <w:szCs w:val="22"/>
        </w:rPr>
        <w:t>Youth Action NSW in a submission to a parliamentary inquiry into this issue in 2018:</w:t>
      </w:r>
    </w:p>
    <w:p w14:paraId="43C2CFF1" w14:textId="5F60D6DF" w:rsidR="00F1144D" w:rsidRPr="00F543E2" w:rsidRDefault="00F1144D" w:rsidP="002D0CB1">
      <w:pPr>
        <w:pStyle w:val="Quote"/>
        <w:spacing w:after="120"/>
        <w:rPr>
          <w:i w:val="0"/>
          <w:iCs w:val="0"/>
        </w:rPr>
      </w:pPr>
      <w:r w:rsidRPr="00CF19E5">
        <w:t xml:space="preserve">Young people aged 16 and 17 are active and contributing members of Australian society, who hold considerable decision-making powers regarding their own lives and who are required to meet </w:t>
      </w:r>
      <w:proofErr w:type="gramStart"/>
      <w:r w:rsidRPr="00CF19E5">
        <w:t>a number of</w:t>
      </w:r>
      <w:proofErr w:type="gramEnd"/>
      <w:r w:rsidRPr="00CF19E5">
        <w:t xml:space="preserve"> legal requirements. Extending the voluntary vote to </w:t>
      </w:r>
      <w:proofErr w:type="gramStart"/>
      <w:r w:rsidRPr="00CF19E5">
        <w:t>16 and 17 year olds</w:t>
      </w:r>
      <w:proofErr w:type="gramEnd"/>
      <w:r w:rsidRPr="00CF19E5">
        <w:t xml:space="preserve"> would be an instrumental step in assuring that young people are </w:t>
      </w:r>
      <w:r w:rsidR="00F543E2" w:rsidRPr="00CF19E5">
        <w:t>funneling</w:t>
      </w:r>
      <w:r w:rsidRPr="00CF19E5">
        <w:t xml:space="preserve"> their political motivation into traditional civic avenues, that relationships between young people and politicians are strengthened, and that young people are treated as valued citizens. These outcomes would be positive for Australia’s </w:t>
      </w:r>
      <w:proofErr w:type="gramStart"/>
      <w:r w:rsidRPr="00CF19E5">
        <w:t>democracy as a whole</w:t>
      </w:r>
      <w:proofErr w:type="gramEnd"/>
      <w:r w:rsidRPr="00CF19E5">
        <w:t xml:space="preserve">. </w:t>
      </w:r>
      <w:r w:rsidR="00F543E2">
        <w:rPr>
          <w:i w:val="0"/>
          <w:iCs w:val="0"/>
        </w:rPr>
        <w:t xml:space="preserve">(JPCEM 2019 at </w:t>
      </w:r>
      <w:r w:rsidR="00565B83">
        <w:rPr>
          <w:i w:val="0"/>
          <w:iCs w:val="0"/>
        </w:rPr>
        <w:t>[</w:t>
      </w:r>
      <w:r w:rsidR="008D122B">
        <w:rPr>
          <w:i w:val="0"/>
          <w:iCs w:val="0"/>
        </w:rPr>
        <w:t>2.18]).</w:t>
      </w:r>
    </w:p>
    <w:p w14:paraId="23B02705" w14:textId="62311647" w:rsidR="00F1144D" w:rsidRPr="00D770CE" w:rsidRDefault="00F1144D" w:rsidP="00FE3B29">
      <w:pPr>
        <w:spacing w:after="120" w:line="240" w:lineRule="auto"/>
        <w:jc w:val="both"/>
        <w:rPr>
          <w:rFonts w:ascii="Times New Roman" w:hAnsi="Times New Roman" w:cs="Times New Roman"/>
        </w:rPr>
      </w:pPr>
      <w:r w:rsidRPr="00D770CE">
        <w:rPr>
          <w:rFonts w:ascii="Times New Roman" w:hAnsi="Times New Roman" w:cs="Times New Roman"/>
        </w:rPr>
        <w:t>When it comes to enhancing political participation, it is accepted that lowering the voting age may not of itself lead to a more politically engaged generation of young people</w:t>
      </w:r>
      <w:r w:rsidR="002376DE" w:rsidRPr="00D770CE">
        <w:rPr>
          <w:rFonts w:ascii="Times New Roman" w:hAnsi="Times New Roman" w:cs="Times New Roman"/>
        </w:rPr>
        <w:t xml:space="preserve"> (</w:t>
      </w:r>
      <w:proofErr w:type="spellStart"/>
      <w:r w:rsidR="00FE3B29" w:rsidRPr="00D770CE">
        <w:rPr>
          <w:rFonts w:ascii="Times New Roman" w:hAnsi="Times New Roman" w:cs="Times New Roman"/>
          <w:shd w:val="clear" w:color="auto" w:fill="FFFFFF"/>
        </w:rPr>
        <w:t>Tonge</w:t>
      </w:r>
      <w:proofErr w:type="spellEnd"/>
      <w:r w:rsidR="00FE3B29" w:rsidRPr="00D770CE">
        <w:rPr>
          <w:rFonts w:ascii="Times New Roman" w:hAnsi="Times New Roman" w:cs="Times New Roman"/>
          <w:shd w:val="clear" w:color="auto" w:fill="FFFFFF"/>
        </w:rPr>
        <w:t>, et al 2021)</w:t>
      </w:r>
      <w:r w:rsidR="00FE3B29" w:rsidRPr="00D770CE">
        <w:rPr>
          <w:rFonts w:ascii="Times New Roman" w:hAnsi="Times New Roman" w:cs="Times New Roman"/>
        </w:rPr>
        <w:t xml:space="preserve">.  </w:t>
      </w:r>
      <w:r w:rsidRPr="00D770CE">
        <w:rPr>
          <w:rFonts w:ascii="Times New Roman" w:hAnsi="Times New Roman" w:cs="Times New Roman"/>
        </w:rPr>
        <w:t>Civics education, responsible media reporting and meaningful engagement between elected representatives, political parties and younger people is critical.  However, without the added element of franchise, young people will remain on the edges of our democratic polity as recipients of political information and representation, rather than active agents.</w:t>
      </w:r>
    </w:p>
    <w:p w14:paraId="1CAD0C50" w14:textId="2F15599F" w:rsidR="00F1144D" w:rsidRPr="00D770CE" w:rsidRDefault="00F1144D" w:rsidP="00FE3B29">
      <w:pPr>
        <w:spacing w:after="120" w:line="240" w:lineRule="auto"/>
        <w:jc w:val="both"/>
        <w:rPr>
          <w:rFonts w:ascii="Times New Roman" w:eastAsia="Times New Roman" w:hAnsi="Times New Roman" w:cs="Times New Roman"/>
          <w:kern w:val="0"/>
          <w:sz w:val="20"/>
          <w:szCs w:val="20"/>
          <w:lang w:eastAsia="en-AU"/>
          <w14:ligatures w14:val="none"/>
        </w:rPr>
      </w:pPr>
      <w:r w:rsidRPr="00D770CE">
        <w:rPr>
          <w:rFonts w:ascii="Times New Roman" w:hAnsi="Times New Roman" w:cs="Times New Roman"/>
          <w:color w:val="000000"/>
        </w:rPr>
        <w:t xml:space="preserve">Several countries around the world have already lowered their voting ages to 16, including Malta, </w:t>
      </w:r>
      <w:proofErr w:type="gramStart"/>
      <w:r w:rsidRPr="00D770CE">
        <w:rPr>
          <w:rFonts w:ascii="Times New Roman" w:hAnsi="Times New Roman" w:cs="Times New Roman"/>
          <w:color w:val="000000"/>
        </w:rPr>
        <w:t>Argentina</w:t>
      </w:r>
      <w:proofErr w:type="gramEnd"/>
      <w:r w:rsidRPr="00D770CE">
        <w:rPr>
          <w:rFonts w:ascii="Times New Roman" w:hAnsi="Times New Roman" w:cs="Times New Roman"/>
          <w:color w:val="000000"/>
        </w:rPr>
        <w:t xml:space="preserve"> and Cuba</w:t>
      </w:r>
      <w:r w:rsidR="002376DE" w:rsidRPr="00D770CE">
        <w:rPr>
          <w:rFonts w:ascii="Times New Roman" w:hAnsi="Times New Roman" w:cs="Times New Roman"/>
          <w:color w:val="000000"/>
        </w:rPr>
        <w:t xml:space="preserve"> </w:t>
      </w:r>
      <w:r w:rsidR="002376DE" w:rsidRPr="00D770CE">
        <w:rPr>
          <w:rFonts w:ascii="Times New Roman" w:hAnsi="Times New Roman" w:cs="Times New Roman"/>
        </w:rPr>
        <w:t>(</w:t>
      </w:r>
      <w:r w:rsidR="00762BA3" w:rsidRPr="00D770CE">
        <w:rPr>
          <w:rFonts w:ascii="Times New Roman" w:hAnsi="Times New Roman" w:cs="Times New Roman"/>
          <w:shd w:val="clear" w:color="auto" w:fill="FFFFFF"/>
        </w:rPr>
        <w:t>Eichhorn &amp; Bergh, 2020</w:t>
      </w:r>
      <w:r w:rsidR="002376DE" w:rsidRPr="00D770CE">
        <w:rPr>
          <w:rFonts w:ascii="Times New Roman" w:hAnsi="Times New Roman" w:cs="Times New Roman"/>
        </w:rPr>
        <w:t>)</w:t>
      </w:r>
      <w:r w:rsidRPr="00D770CE">
        <w:rPr>
          <w:rFonts w:ascii="Times New Roman" w:hAnsi="Times New Roman" w:cs="Times New Roman"/>
          <w:color w:val="000000"/>
        </w:rPr>
        <w:t xml:space="preserve">.  In 2007, the voting age in Austria was lowered from 18 to 16. In Brazil and Ecuador, 16-year-olds are also allowed to vote, but it is not compulsory.  </w:t>
      </w:r>
      <w:r w:rsidRPr="00D770CE">
        <w:rPr>
          <w:rFonts w:ascii="Times New Roman" w:hAnsi="Times New Roman" w:cs="Times New Roman"/>
        </w:rPr>
        <w:t xml:space="preserve">In Wales, </w:t>
      </w:r>
      <w:proofErr w:type="gramStart"/>
      <w:r w:rsidRPr="00D770CE">
        <w:rPr>
          <w:rFonts w:ascii="Times New Roman" w:hAnsi="Times New Roman" w:cs="Times New Roman"/>
        </w:rPr>
        <w:t>16 and 17 year olds</w:t>
      </w:r>
      <w:proofErr w:type="gramEnd"/>
      <w:r w:rsidRPr="00D770CE">
        <w:rPr>
          <w:rFonts w:ascii="Times New Roman" w:hAnsi="Times New Roman" w:cs="Times New Roman"/>
        </w:rPr>
        <w:t xml:space="preserve"> can vote and 11 year olds can run for election to the Welsh Youth Parliament, which works directly with adult MPs to generate legislative and policy agendas, scrutinise government action and expenditure and conduct inquiries</w:t>
      </w:r>
      <w:r w:rsidR="002376DE" w:rsidRPr="00D770CE">
        <w:rPr>
          <w:rFonts w:ascii="Times New Roman" w:hAnsi="Times New Roman" w:cs="Times New Roman"/>
        </w:rPr>
        <w:t xml:space="preserve"> (</w:t>
      </w:r>
      <w:proofErr w:type="spellStart"/>
      <w:r w:rsidR="00FE3B29" w:rsidRPr="00D770CE">
        <w:rPr>
          <w:rFonts w:ascii="Times New Roman" w:hAnsi="Times New Roman" w:cs="Times New Roman"/>
          <w:shd w:val="clear" w:color="auto" w:fill="FFFFFF"/>
        </w:rPr>
        <w:t>Tonge</w:t>
      </w:r>
      <w:proofErr w:type="spellEnd"/>
      <w:r w:rsidR="00FE3B29" w:rsidRPr="00D770CE">
        <w:rPr>
          <w:rFonts w:ascii="Times New Roman" w:hAnsi="Times New Roman" w:cs="Times New Roman"/>
          <w:shd w:val="clear" w:color="auto" w:fill="FFFFFF"/>
        </w:rPr>
        <w:t xml:space="preserve">, </w:t>
      </w:r>
      <w:r w:rsidR="00FE3B29" w:rsidRPr="00D770CE">
        <w:rPr>
          <w:rFonts w:ascii="Times New Roman" w:hAnsi="Times New Roman" w:cs="Times New Roman"/>
          <w:shd w:val="clear" w:color="auto" w:fill="FFFFFF"/>
        </w:rPr>
        <w:t>et al</w:t>
      </w:r>
      <w:r w:rsidR="00FE3B29" w:rsidRPr="00D770CE">
        <w:rPr>
          <w:rFonts w:ascii="Times New Roman" w:hAnsi="Times New Roman" w:cs="Times New Roman"/>
          <w:shd w:val="clear" w:color="auto" w:fill="FFFFFF"/>
        </w:rPr>
        <w:t xml:space="preserve"> 2021</w:t>
      </w:r>
      <w:r w:rsidR="00FE3B29" w:rsidRPr="00D770CE">
        <w:rPr>
          <w:rFonts w:ascii="Times New Roman" w:hAnsi="Times New Roman" w:cs="Times New Roman"/>
          <w:shd w:val="clear" w:color="auto" w:fill="FFFFFF"/>
        </w:rPr>
        <w:t>)</w:t>
      </w:r>
      <w:r w:rsidRPr="00D770CE">
        <w:rPr>
          <w:rFonts w:ascii="Times New Roman" w:hAnsi="Times New Roman" w:cs="Times New Roman"/>
        </w:rPr>
        <w:t xml:space="preserve">.  </w:t>
      </w:r>
      <w:r w:rsidRPr="00D770CE">
        <w:rPr>
          <w:rFonts w:ascii="Times New Roman" w:hAnsi="Times New Roman" w:cs="Times New Roman"/>
          <w:color w:val="000000"/>
        </w:rPr>
        <w:t>Scotland reduced the voting age from 18 to 16 for its independence vote in 2014</w:t>
      </w:r>
      <w:r w:rsidR="00F004E1" w:rsidRPr="00D770CE">
        <w:rPr>
          <w:rFonts w:ascii="Times New Roman" w:hAnsi="Times New Roman" w:cs="Times New Roman"/>
          <w:color w:val="000000"/>
        </w:rPr>
        <w:t xml:space="preserve"> (</w:t>
      </w:r>
      <w:r w:rsidR="00F004E1" w:rsidRPr="00D770CE">
        <w:rPr>
          <w:rFonts w:ascii="Times New Roman" w:hAnsi="Times New Roman" w:cs="Times New Roman"/>
          <w:shd w:val="clear" w:color="auto" w:fill="FFFFFF"/>
        </w:rPr>
        <w:t>Eichhorn &amp; Bergh, 2020</w:t>
      </w:r>
      <w:r w:rsidR="00F004E1" w:rsidRPr="00D770CE">
        <w:rPr>
          <w:rFonts w:ascii="Times New Roman" w:hAnsi="Times New Roman" w:cs="Times New Roman"/>
        </w:rPr>
        <w:t>)</w:t>
      </w:r>
      <w:r w:rsidRPr="00D770CE">
        <w:rPr>
          <w:rFonts w:ascii="Times New Roman" w:hAnsi="Times New Roman" w:cs="Times New Roman"/>
          <w:color w:val="000000"/>
        </w:rPr>
        <w:t>.</w:t>
      </w:r>
      <w:r w:rsidR="00762BA3" w:rsidRPr="00D770CE">
        <w:rPr>
          <w:rFonts w:ascii="Times New Roman" w:hAnsi="Times New Roman" w:cs="Times New Roman"/>
          <w:color w:val="000000"/>
        </w:rPr>
        <w:t xml:space="preserve"> </w:t>
      </w:r>
      <w:r w:rsidRPr="00D770CE">
        <w:rPr>
          <w:rFonts w:ascii="Times New Roman" w:hAnsi="Times New Roman" w:cs="Times New Roman"/>
          <w:color w:val="000000"/>
        </w:rPr>
        <w:t xml:space="preserve"> In 2022, the </w:t>
      </w:r>
      <w:r w:rsidRPr="00D770CE">
        <w:rPr>
          <w:rFonts w:ascii="Times New Roman" w:eastAsiaTheme="majorEastAsia" w:hAnsi="Times New Roman" w:cs="Times New Roman"/>
        </w:rPr>
        <w:t>New Zealand Supreme Court ruled that the country's voting age of 18 was discriminatory</w:t>
      </w:r>
      <w:r w:rsidRPr="00D770CE">
        <w:rPr>
          <w:rFonts w:ascii="Times New Roman" w:hAnsi="Times New Roman" w:cs="Times New Roman"/>
          <w:color w:val="000000"/>
        </w:rPr>
        <w:t xml:space="preserve">, although the voting age has not </w:t>
      </w:r>
      <w:r w:rsidRPr="00D770CE">
        <w:rPr>
          <w:rFonts w:ascii="Times New Roman" w:hAnsi="Times New Roman" w:cs="Times New Roman"/>
        </w:rPr>
        <w:t>changed</w:t>
      </w:r>
      <w:r w:rsidR="002376DE" w:rsidRPr="00D770CE">
        <w:rPr>
          <w:rFonts w:ascii="Times New Roman" w:hAnsi="Times New Roman" w:cs="Times New Roman"/>
        </w:rPr>
        <w:t xml:space="preserve"> (</w:t>
      </w:r>
      <w:r w:rsidR="00943E6A" w:rsidRPr="00D770CE">
        <w:rPr>
          <w:rFonts w:ascii="Times New Roman" w:hAnsi="Times New Roman" w:cs="Times New Roman"/>
        </w:rPr>
        <w:t xml:space="preserve">Meagher and </w:t>
      </w:r>
      <w:proofErr w:type="spellStart"/>
      <w:r w:rsidR="00943E6A" w:rsidRPr="00D770CE">
        <w:rPr>
          <w:rFonts w:ascii="Times New Roman" w:hAnsi="Times New Roman" w:cs="Times New Roman"/>
        </w:rPr>
        <w:t>Geddis</w:t>
      </w:r>
      <w:proofErr w:type="spellEnd"/>
      <w:r w:rsidR="00943E6A" w:rsidRPr="00D770CE">
        <w:rPr>
          <w:rFonts w:ascii="Times New Roman" w:hAnsi="Times New Roman" w:cs="Times New Roman"/>
        </w:rPr>
        <w:t>, 2023</w:t>
      </w:r>
      <w:r w:rsidR="002376DE" w:rsidRPr="00D770CE">
        <w:rPr>
          <w:rFonts w:ascii="Times New Roman" w:hAnsi="Times New Roman" w:cs="Times New Roman"/>
        </w:rPr>
        <w:t>)</w:t>
      </w:r>
      <w:r w:rsidRPr="00D770CE">
        <w:rPr>
          <w:rFonts w:ascii="Times New Roman" w:hAnsi="Times New Roman" w:cs="Times New Roman"/>
        </w:rPr>
        <w:t>.</w:t>
      </w:r>
    </w:p>
    <w:p w14:paraId="37767AF6" w14:textId="31658631" w:rsidR="00511BC1" w:rsidRPr="006F3A5D" w:rsidRDefault="00511BC1"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2023 a </w:t>
      </w:r>
      <w:r w:rsidRPr="00F1144D">
        <w:rPr>
          <w:rFonts w:ascii="Times New Roman" w:hAnsi="Times New Roman" w:cs="Times New Roman"/>
        </w:rPr>
        <w:t>Bill was introduced in the Australian Parliament</w:t>
      </w:r>
      <w:r w:rsidRPr="006F3A5D">
        <w:rPr>
          <w:rFonts w:ascii="Times New Roman" w:hAnsi="Times New Roman" w:cs="Times New Roman"/>
        </w:rPr>
        <w:t xml:space="preserve"> to lower the voting age in federal elections. It proposed to amend the </w:t>
      </w:r>
      <w:r w:rsidRPr="002376DE">
        <w:rPr>
          <w:rFonts w:ascii="Times New Roman" w:hAnsi="Times New Roman" w:cs="Times New Roman"/>
          <w:i/>
          <w:iCs/>
        </w:rPr>
        <w:t xml:space="preserve"> Electoral Act 1918</w:t>
      </w:r>
      <w:r w:rsidR="002376DE">
        <w:rPr>
          <w:rFonts w:ascii="Times New Roman" w:hAnsi="Times New Roman" w:cs="Times New Roman"/>
        </w:rPr>
        <w:t xml:space="preserve"> (</w:t>
      </w:r>
      <w:proofErr w:type="spellStart"/>
      <w:r w:rsidR="002376DE">
        <w:rPr>
          <w:rFonts w:ascii="Times New Roman" w:hAnsi="Times New Roman" w:cs="Times New Roman"/>
        </w:rPr>
        <w:t>Cth</w:t>
      </w:r>
      <w:proofErr w:type="spellEnd"/>
      <w:r w:rsidR="002376DE">
        <w:rPr>
          <w:rFonts w:ascii="Times New Roman" w:hAnsi="Times New Roman" w:cs="Times New Roman"/>
        </w:rPr>
        <w:t xml:space="preserve">) </w:t>
      </w:r>
      <w:r w:rsidRPr="006F3A5D">
        <w:rPr>
          <w:rFonts w:ascii="Times New Roman" w:hAnsi="Times New Roman" w:cs="Times New Roman"/>
        </w:rPr>
        <w:t>and </w:t>
      </w:r>
      <w:r w:rsidRPr="002376DE">
        <w:rPr>
          <w:rFonts w:ascii="Times New Roman" w:hAnsi="Times New Roman" w:cs="Times New Roman"/>
          <w:i/>
          <w:iCs/>
        </w:rPr>
        <w:t>Referendum (Machinery Provisions) Act 1984</w:t>
      </w:r>
      <w:r w:rsidRPr="006F3A5D">
        <w:rPr>
          <w:rFonts w:ascii="Times New Roman" w:hAnsi="Times New Roman" w:cs="Times New Roman"/>
        </w:rPr>
        <w:t> </w:t>
      </w:r>
      <w:r w:rsidR="002376DE">
        <w:rPr>
          <w:rFonts w:ascii="Times New Roman" w:hAnsi="Times New Roman" w:cs="Times New Roman"/>
        </w:rPr>
        <w:t xml:space="preserve"> (</w:t>
      </w:r>
      <w:proofErr w:type="spellStart"/>
      <w:r w:rsidR="002376DE">
        <w:rPr>
          <w:rFonts w:ascii="Times New Roman" w:hAnsi="Times New Roman" w:cs="Times New Roman"/>
        </w:rPr>
        <w:t>Cth</w:t>
      </w:r>
      <w:proofErr w:type="spellEnd"/>
      <w:r w:rsidR="002376DE">
        <w:rPr>
          <w:rFonts w:ascii="Times New Roman" w:hAnsi="Times New Roman" w:cs="Times New Roman"/>
        </w:rPr>
        <w:t xml:space="preserve">) </w:t>
      </w:r>
      <w:r w:rsidRPr="006F3A5D">
        <w:rPr>
          <w:rFonts w:ascii="Times New Roman" w:hAnsi="Times New Roman" w:cs="Times New Roman"/>
        </w:rPr>
        <w:t xml:space="preserve">to: lower the minimum voting age in Australian federal elections and referenda from 18 to 16 years; provide </w:t>
      </w:r>
      <w:r w:rsidRPr="006F3A5D">
        <w:rPr>
          <w:rFonts w:ascii="Times New Roman" w:hAnsi="Times New Roman" w:cs="Times New Roman"/>
        </w:rPr>
        <w:lastRenderedPageBreak/>
        <w:t>for 16 and 17 year olds to be included in the certified list of voters (but not to be given a penalty notice if they do not vote); and provide that an eligible voter, who is not yet on the electoral roll or enrolled at their correct address, is able to cast a provisional vote on election day.  The Bill did not pass.</w:t>
      </w:r>
    </w:p>
    <w:p w14:paraId="37D4BB82" w14:textId="5DD2A404" w:rsidR="007A043B" w:rsidRPr="00F1144D" w:rsidRDefault="00511BC1" w:rsidP="008D6A22">
      <w:pPr>
        <w:spacing w:after="60" w:line="240" w:lineRule="auto"/>
        <w:rPr>
          <w:rFonts w:ascii="Times New Roman" w:hAnsi="Times New Roman" w:cs="Times New Roman"/>
        </w:rPr>
      </w:pPr>
      <w:r w:rsidRPr="006F3A5D">
        <w:rPr>
          <w:rFonts w:ascii="Times New Roman" w:hAnsi="Times New Roman" w:cs="Times New Roman"/>
        </w:rPr>
        <w:t xml:space="preserve">A similar Bill was introduced at the federal level in 2018, which was referred to the Joint Parliamentary Committee on Electoral Matters </w:t>
      </w:r>
      <w:r w:rsidR="008D6A22">
        <w:rPr>
          <w:rFonts w:ascii="Times New Roman" w:hAnsi="Times New Roman" w:cs="Times New Roman"/>
        </w:rPr>
        <w:t xml:space="preserve">(JPCEM) </w:t>
      </w:r>
      <w:r w:rsidRPr="006F3A5D">
        <w:rPr>
          <w:rFonts w:ascii="Times New Roman" w:hAnsi="Times New Roman" w:cs="Times New Roman"/>
        </w:rPr>
        <w:t xml:space="preserve">for </w:t>
      </w:r>
      <w:r w:rsidRPr="00F1144D">
        <w:rPr>
          <w:rFonts w:ascii="Times New Roman" w:hAnsi="Times New Roman" w:cs="Times New Roman"/>
        </w:rPr>
        <w:t>inquiry and report</w:t>
      </w:r>
      <w:r w:rsidR="008D6A22">
        <w:rPr>
          <w:rFonts w:ascii="Times New Roman" w:hAnsi="Times New Roman" w:cs="Times New Roman"/>
        </w:rPr>
        <w:t xml:space="preserve"> (</w:t>
      </w:r>
      <w:r w:rsidR="008D6A22" w:rsidRPr="008D6A22">
        <w:rPr>
          <w:rFonts w:ascii="Times New Roman" w:hAnsi="Times New Roman" w:cs="Times New Roman"/>
        </w:rPr>
        <w:t>JPCEM,</w:t>
      </w:r>
      <w:r w:rsidR="008D6A22" w:rsidRPr="008D6A22">
        <w:rPr>
          <w:rFonts w:ascii="Times New Roman" w:hAnsi="Times New Roman" w:cs="Times New Roman"/>
        </w:rPr>
        <w:t xml:space="preserve"> 2019</w:t>
      </w:r>
      <w:r w:rsidR="008D6A22" w:rsidRPr="00DB70EA">
        <w:rPr>
          <w:rFonts w:ascii="Times New Roman" w:hAnsi="Times New Roman" w:cs="Times New Roman"/>
          <w:sz w:val="20"/>
          <w:szCs w:val="20"/>
        </w:rPr>
        <w:t>)</w:t>
      </w:r>
      <w:r w:rsidRPr="006F3A5D">
        <w:rPr>
          <w:rFonts w:ascii="Times New Roman" w:hAnsi="Times New Roman" w:cs="Times New Roman"/>
        </w:rPr>
        <w:t>.</w:t>
      </w:r>
      <w:r w:rsidR="00F1144D">
        <w:rPr>
          <w:rFonts w:ascii="Times New Roman" w:hAnsi="Times New Roman" w:cs="Times New Roman"/>
        </w:rPr>
        <w:t xml:space="preserve">  </w:t>
      </w:r>
      <w:r w:rsidR="007A043B" w:rsidRPr="00F1144D">
        <w:rPr>
          <w:rFonts w:ascii="Times New Roman" w:hAnsi="Times New Roman" w:cs="Times New Roman"/>
        </w:rPr>
        <w:t>In their submission to the inquiry, the Australian Human Rights Commission stated:</w:t>
      </w:r>
    </w:p>
    <w:p w14:paraId="772A4C74" w14:textId="3E636F47" w:rsidR="007A043B" w:rsidRDefault="007A043B" w:rsidP="002D0CB1">
      <w:pPr>
        <w:pStyle w:val="Quote"/>
        <w:spacing w:after="120"/>
      </w:pPr>
      <w:r>
        <w:t xml:space="preserve">Lowering the minimum (non-compulsory) voting age in Australian federal elections from 18 to 16 years would provide opportunities of genuine civic participation to children under the age of 18 years. It would directly involve young people in the democratic </w:t>
      </w:r>
      <w:proofErr w:type="gramStart"/>
      <w:r>
        <w:t>process, and</w:t>
      </w:r>
      <w:proofErr w:type="gramEnd"/>
      <w:r>
        <w:t xml:space="preserve"> would be a measurable way for Australia to demonstrate its commitment to children’s participation rights and meet its obligations pursuant to Article 12 of the CRC. </w:t>
      </w:r>
      <w:r w:rsidR="008D6A22" w:rsidRPr="008D6A22">
        <w:rPr>
          <w:i w:val="0"/>
          <w:iCs w:val="0"/>
        </w:rPr>
        <w:t>(</w:t>
      </w:r>
      <w:r w:rsidR="008D6A22" w:rsidRPr="008D6A22">
        <w:rPr>
          <w:i w:val="0"/>
          <w:iCs w:val="0"/>
          <w:sz w:val="22"/>
          <w:szCs w:val="22"/>
        </w:rPr>
        <w:t>JPCEM, 2019</w:t>
      </w:r>
      <w:r w:rsidR="008D6A22" w:rsidRPr="008D6A22">
        <w:rPr>
          <w:i w:val="0"/>
          <w:iCs w:val="0"/>
        </w:rPr>
        <w:t xml:space="preserve"> at </w:t>
      </w:r>
      <w:r w:rsidRPr="008D6A22">
        <w:rPr>
          <w:i w:val="0"/>
          <w:iCs w:val="0"/>
        </w:rPr>
        <w:t>[2.77]</w:t>
      </w:r>
      <w:r w:rsidR="008D6A22" w:rsidRPr="008D6A22">
        <w:rPr>
          <w:i w:val="0"/>
          <w:iCs w:val="0"/>
        </w:rPr>
        <w:t>)</w:t>
      </w:r>
    </w:p>
    <w:p w14:paraId="3A49C289" w14:textId="357C1078" w:rsidR="007A043B" w:rsidRPr="00BF7A9A" w:rsidRDefault="00DD1367" w:rsidP="002D0CB1">
      <w:pPr>
        <w:spacing w:after="120" w:line="240" w:lineRule="auto"/>
        <w:jc w:val="both"/>
        <w:rPr>
          <w:rFonts w:ascii="Times New Roman" w:hAnsi="Times New Roman" w:cs="Times New Roman"/>
        </w:rPr>
      </w:pPr>
      <w:r w:rsidRPr="00BF7A9A">
        <w:rPr>
          <w:rFonts w:ascii="Times New Roman" w:hAnsi="Times New Roman" w:cs="Times New Roman"/>
        </w:rPr>
        <w:t>The majority of the JPCEM did not support the enactment of the Bill that sought to lower the voting age to 16 years in Australia, but noted that if the Parliament were</w:t>
      </w:r>
      <w:r w:rsidR="000654A2" w:rsidRPr="00BF7A9A">
        <w:rPr>
          <w:rFonts w:ascii="Times New Roman" w:hAnsi="Times New Roman" w:cs="Times New Roman"/>
        </w:rPr>
        <w:t xml:space="preserve"> to </w:t>
      </w:r>
      <w:proofErr w:type="spellStart"/>
      <w:r w:rsidR="000654A2" w:rsidRPr="00BF7A9A">
        <w:rPr>
          <w:rFonts w:ascii="Times New Roman" w:hAnsi="Times New Roman" w:cs="Times New Roman"/>
        </w:rPr>
        <w:t>chose</w:t>
      </w:r>
      <w:proofErr w:type="spellEnd"/>
      <w:r w:rsidR="000654A2" w:rsidRPr="00BF7A9A">
        <w:rPr>
          <w:rFonts w:ascii="Times New Roman" w:hAnsi="Times New Roman" w:cs="Times New Roman"/>
        </w:rPr>
        <w:t xml:space="preserve"> to extend the franchise to 16 year olds, ‘this should be on the same [compulsory] basis as Australians aged 18’: it considered that ‘the right to vote should come with the responsibility to vote’ </w:t>
      </w:r>
      <w:r w:rsidR="00E42450" w:rsidRPr="00BF7A9A">
        <w:rPr>
          <w:rFonts w:ascii="Times New Roman" w:hAnsi="Times New Roman" w:cs="Times New Roman"/>
        </w:rPr>
        <w:t>(</w:t>
      </w:r>
      <w:r w:rsidR="00BB2B5C">
        <w:rPr>
          <w:rFonts w:ascii="Times New Roman" w:hAnsi="Times New Roman" w:cs="Times New Roman"/>
        </w:rPr>
        <w:t>J</w:t>
      </w:r>
      <w:r w:rsidR="008D6A22" w:rsidRPr="008D6A22">
        <w:rPr>
          <w:rFonts w:ascii="Times New Roman" w:hAnsi="Times New Roman" w:cs="Times New Roman"/>
        </w:rPr>
        <w:t>PCEM, 2019</w:t>
      </w:r>
      <w:r w:rsidR="008D6A22">
        <w:rPr>
          <w:rFonts w:ascii="Times New Roman" w:hAnsi="Times New Roman" w:cs="Times New Roman"/>
        </w:rPr>
        <w:t xml:space="preserve"> </w:t>
      </w:r>
      <w:r w:rsidR="000654A2" w:rsidRPr="00BF7A9A">
        <w:rPr>
          <w:rFonts w:ascii="Times New Roman" w:hAnsi="Times New Roman" w:cs="Times New Roman"/>
        </w:rPr>
        <w:t xml:space="preserve">at </w:t>
      </w:r>
      <w:r w:rsidR="00E42450" w:rsidRPr="00BF7A9A">
        <w:rPr>
          <w:rFonts w:ascii="Times New Roman" w:hAnsi="Times New Roman" w:cs="Times New Roman"/>
        </w:rPr>
        <w:t>[2.136]).</w:t>
      </w:r>
      <w:r w:rsidR="001E572F" w:rsidRPr="00BF7A9A">
        <w:rPr>
          <w:rFonts w:ascii="Times New Roman" w:hAnsi="Times New Roman" w:cs="Times New Roman"/>
        </w:rPr>
        <w:t xml:space="preserve"> </w:t>
      </w:r>
      <w:r w:rsidR="00F1144D" w:rsidRPr="00BF7A9A">
        <w:rPr>
          <w:rFonts w:ascii="Times New Roman" w:hAnsi="Times New Roman" w:cs="Times New Roman"/>
        </w:rPr>
        <w:t>Additional</w:t>
      </w:r>
      <w:r w:rsidR="001E572F" w:rsidRPr="00BF7A9A">
        <w:rPr>
          <w:rFonts w:ascii="Times New Roman" w:hAnsi="Times New Roman" w:cs="Times New Roman"/>
        </w:rPr>
        <w:t xml:space="preserve"> comments were provided by the Labor members of the JPCEM, who expressed ‘in principle’ support for </w:t>
      </w:r>
      <w:r w:rsidR="00760AC4" w:rsidRPr="00BF7A9A">
        <w:rPr>
          <w:rFonts w:ascii="Times New Roman" w:hAnsi="Times New Roman" w:cs="Times New Roman"/>
        </w:rPr>
        <w:t xml:space="preserve">‘the proposition that 16 and 17 year olds are as capable of participating in elections as older Australians’, whilst also rejecting the 2018 Bill on the grounds that it </w:t>
      </w:r>
      <w:r w:rsidR="00D02DAE" w:rsidRPr="00BF7A9A">
        <w:rPr>
          <w:rFonts w:ascii="Times New Roman" w:hAnsi="Times New Roman" w:cs="Times New Roman"/>
        </w:rPr>
        <w:t>proposes ‘a different voting regime for voters aged 16 and 17 than for other voters</w:t>
      </w:r>
      <w:r w:rsidR="0031345D">
        <w:rPr>
          <w:rFonts w:ascii="Times New Roman" w:hAnsi="Times New Roman" w:cs="Times New Roman"/>
        </w:rPr>
        <w:t>’</w:t>
      </w:r>
      <w:r w:rsidR="00D02DAE" w:rsidRPr="00BF7A9A">
        <w:rPr>
          <w:rFonts w:ascii="Times New Roman" w:hAnsi="Times New Roman" w:cs="Times New Roman"/>
        </w:rPr>
        <w:t>, with the proposed extension of the franchise to be non-compulsory</w:t>
      </w:r>
      <w:r w:rsidR="00BB2B5C">
        <w:rPr>
          <w:rFonts w:ascii="Times New Roman" w:hAnsi="Times New Roman" w:cs="Times New Roman"/>
        </w:rPr>
        <w:t xml:space="preserve"> </w:t>
      </w:r>
      <w:r w:rsidR="00BB2B5C">
        <w:rPr>
          <w:rFonts w:ascii="Times New Roman" w:hAnsi="Times New Roman" w:cs="Times New Roman"/>
        </w:rPr>
        <w:t>(</w:t>
      </w:r>
      <w:r w:rsidR="00BB2B5C" w:rsidRPr="008D6A22">
        <w:rPr>
          <w:rFonts w:ascii="Times New Roman" w:hAnsi="Times New Roman" w:cs="Times New Roman"/>
        </w:rPr>
        <w:t>JPCEM, 2019</w:t>
      </w:r>
      <w:r w:rsidR="00CC359B">
        <w:rPr>
          <w:rFonts w:ascii="Times New Roman" w:hAnsi="Times New Roman" w:cs="Times New Roman"/>
        </w:rPr>
        <w:t xml:space="preserve"> at</w:t>
      </w:r>
      <w:r w:rsidR="00822B2E">
        <w:rPr>
          <w:rFonts w:ascii="Times New Roman" w:hAnsi="Times New Roman" w:cs="Times New Roman"/>
        </w:rPr>
        <w:t xml:space="preserve"> p.51</w:t>
      </w:r>
      <w:r w:rsidR="00BB2B5C">
        <w:rPr>
          <w:rFonts w:ascii="Times New Roman" w:hAnsi="Times New Roman" w:cs="Times New Roman"/>
        </w:rPr>
        <w:t>)</w:t>
      </w:r>
      <w:r w:rsidR="00D02DAE" w:rsidRPr="00BF7A9A">
        <w:rPr>
          <w:rFonts w:ascii="Times New Roman" w:hAnsi="Times New Roman" w:cs="Times New Roman"/>
        </w:rPr>
        <w:t>.  The Labor members recommended that ‘[t]</w:t>
      </w:r>
      <w:proofErr w:type="gramStart"/>
      <w:r w:rsidR="00D02DAE" w:rsidRPr="00BF7A9A">
        <w:rPr>
          <w:rFonts w:ascii="Times New Roman" w:hAnsi="Times New Roman" w:cs="Times New Roman"/>
        </w:rPr>
        <w:t>he</w:t>
      </w:r>
      <w:proofErr w:type="gramEnd"/>
      <w:r w:rsidR="00D02DAE" w:rsidRPr="00BF7A9A">
        <w:rPr>
          <w:rFonts w:ascii="Times New Roman" w:hAnsi="Times New Roman" w:cs="Times New Roman"/>
        </w:rPr>
        <w:t xml:space="preserve"> issue of extending the franchise for younger Australians be further considered by this Committee in its review of the 2019 federal election’</w:t>
      </w:r>
      <w:r w:rsidR="0031345D">
        <w:rPr>
          <w:rFonts w:ascii="Times New Roman" w:hAnsi="Times New Roman" w:cs="Times New Roman"/>
        </w:rPr>
        <w:t xml:space="preserve"> </w:t>
      </w:r>
      <w:r w:rsidR="00BB2B5C">
        <w:rPr>
          <w:rFonts w:ascii="Times New Roman" w:hAnsi="Times New Roman" w:cs="Times New Roman"/>
        </w:rPr>
        <w:t>(</w:t>
      </w:r>
      <w:r w:rsidR="00BB2B5C" w:rsidRPr="008D6A22">
        <w:rPr>
          <w:rFonts w:ascii="Times New Roman" w:hAnsi="Times New Roman" w:cs="Times New Roman"/>
        </w:rPr>
        <w:t>JPCEM, 2019</w:t>
      </w:r>
      <w:r w:rsidR="007E651F">
        <w:rPr>
          <w:rFonts w:ascii="Times New Roman" w:hAnsi="Times New Roman" w:cs="Times New Roman"/>
        </w:rPr>
        <w:t xml:space="preserve"> at p.</w:t>
      </w:r>
      <w:r w:rsidR="007D39E2">
        <w:rPr>
          <w:rFonts w:ascii="Times New Roman" w:hAnsi="Times New Roman" w:cs="Times New Roman"/>
        </w:rPr>
        <w:t xml:space="preserve"> 53</w:t>
      </w:r>
      <w:r w:rsidR="0031345D">
        <w:rPr>
          <w:rFonts w:ascii="Times New Roman" w:hAnsi="Times New Roman" w:cs="Times New Roman"/>
        </w:rPr>
        <w:t>).</w:t>
      </w:r>
    </w:p>
    <w:p w14:paraId="196C7A2A" w14:textId="6F3624C4" w:rsidR="00595B77" w:rsidRPr="00BF7A9A" w:rsidRDefault="00595B77" w:rsidP="002D0CB1">
      <w:pPr>
        <w:spacing w:after="120" w:line="240" w:lineRule="auto"/>
        <w:jc w:val="both"/>
        <w:rPr>
          <w:rFonts w:ascii="Times New Roman" w:hAnsi="Times New Roman" w:cs="Times New Roman"/>
        </w:rPr>
      </w:pPr>
      <w:r w:rsidRPr="00BF7A9A">
        <w:rPr>
          <w:rFonts w:ascii="Times New Roman" w:hAnsi="Times New Roman" w:cs="Times New Roman"/>
        </w:rPr>
        <w:t>The Australian Greens members of the Committee also included dissenting comments</w:t>
      </w:r>
      <w:r w:rsidR="00CA6B5E" w:rsidRPr="00BF7A9A">
        <w:rPr>
          <w:rFonts w:ascii="Times New Roman" w:hAnsi="Times New Roman" w:cs="Times New Roman"/>
        </w:rPr>
        <w:t xml:space="preserve"> supporting the enactment of the 2018 and observing that:</w:t>
      </w:r>
    </w:p>
    <w:p w14:paraId="46EB4B91" w14:textId="43D3641C" w:rsidR="00CA6B5E" w:rsidRDefault="00CA6B5E" w:rsidP="002D0CB1">
      <w:pPr>
        <w:pStyle w:val="Quote"/>
        <w:spacing w:after="120"/>
      </w:pPr>
      <w:r>
        <w:t xml:space="preserve">young people–through the rise of digital and social media platforms are more politically aware than ever before by expanding the franchise to allow </w:t>
      </w:r>
      <w:proofErr w:type="gramStart"/>
      <w:r>
        <w:t>16 and 17 year olds</w:t>
      </w:r>
      <w:proofErr w:type="gramEnd"/>
      <w:r>
        <w:t xml:space="preserve"> the option to vote–and allowing teachers to bring civics education into the classroom in a more tangible way. It also seeks to lower the age at which young people can </w:t>
      </w:r>
      <w:r w:rsidR="00366C40">
        <w:t>enroll</w:t>
      </w:r>
      <w:r>
        <w:t xml:space="preserve"> to vote to 14 years old, ensuring that an understanding of Australia’s preferential voting system becomes more universal.</w:t>
      </w:r>
    </w:p>
    <w:p w14:paraId="4BBEE592" w14:textId="7EE1FC69" w:rsidR="00CA6B5E" w:rsidRPr="00BB2B5C" w:rsidRDefault="00CA6B5E" w:rsidP="002D0CB1">
      <w:pPr>
        <w:pStyle w:val="Quote"/>
        <w:spacing w:after="120"/>
        <w:rPr>
          <w:i w:val="0"/>
          <w:iCs w:val="0"/>
        </w:rPr>
      </w:pPr>
      <w:r>
        <w:t xml:space="preserve">People who are 16 and 17 years old can work full time, pay taxes, contribute to superannuation, </w:t>
      </w:r>
      <w:proofErr w:type="gramStart"/>
      <w:r>
        <w:t>own</w:t>
      </w:r>
      <w:proofErr w:type="gramEnd"/>
      <w:r>
        <w:t xml:space="preserve"> and drive a car thereby contributing to other associated taxes and duties, join a political party, join the Australian Armed Forces, have sex and make autonomous medical decisions about their own bodies. </w:t>
      </w:r>
      <w:proofErr w:type="gramStart"/>
      <w:r>
        <w:t>More often than not</w:t>
      </w:r>
      <w:proofErr w:type="gramEnd"/>
      <w:r>
        <w:t xml:space="preserve">, by the time young people reach the age of 16 or 17 they are making a significant contribution to Australian society and similarly are able to </w:t>
      </w:r>
      <w:proofErr w:type="spellStart"/>
      <w:r>
        <w:t>recognise</w:t>
      </w:r>
      <w:proofErr w:type="spellEnd"/>
      <w:r>
        <w:t xml:space="preserve"> the impacts government decisions have upon their lives. It follows, therefore, that </w:t>
      </w:r>
      <w:proofErr w:type="gramStart"/>
      <w:r>
        <w:t>16 and 17 year olds</w:t>
      </w:r>
      <w:proofErr w:type="gramEnd"/>
      <w:r>
        <w:t xml:space="preserve"> should be able to have their say at the ballot box.</w:t>
      </w:r>
      <w:r w:rsidR="0031345D">
        <w:t xml:space="preserve"> </w:t>
      </w:r>
      <w:r w:rsidR="00BB2B5C">
        <w:rPr>
          <w:i w:val="0"/>
          <w:iCs w:val="0"/>
        </w:rPr>
        <w:t>(</w:t>
      </w:r>
      <w:r w:rsidR="00BB2B5C" w:rsidRPr="00BB2B5C">
        <w:rPr>
          <w:i w:val="0"/>
          <w:iCs w:val="0"/>
          <w:sz w:val="22"/>
          <w:szCs w:val="22"/>
        </w:rPr>
        <w:t>JPCEM, 2019</w:t>
      </w:r>
      <w:r w:rsidR="00366C40">
        <w:rPr>
          <w:i w:val="0"/>
          <w:iCs w:val="0"/>
          <w:sz w:val="22"/>
          <w:szCs w:val="22"/>
        </w:rPr>
        <w:t xml:space="preserve"> at</w:t>
      </w:r>
      <w:r w:rsidR="00E6095A">
        <w:rPr>
          <w:i w:val="0"/>
          <w:iCs w:val="0"/>
          <w:sz w:val="22"/>
          <w:szCs w:val="22"/>
        </w:rPr>
        <w:t xml:space="preserve"> 55</w:t>
      </w:r>
      <w:r w:rsidR="0031345D" w:rsidRPr="00BB2B5C">
        <w:rPr>
          <w:i w:val="0"/>
          <w:iCs w:val="0"/>
        </w:rPr>
        <w:t>).</w:t>
      </w:r>
    </w:p>
    <w:p w14:paraId="08703811" w14:textId="77777777" w:rsidR="0031345D" w:rsidRDefault="00C970AF" w:rsidP="0031345D">
      <w:pPr>
        <w:spacing w:after="120" w:line="240" w:lineRule="auto"/>
        <w:jc w:val="both"/>
        <w:rPr>
          <w:rFonts w:ascii="Times New Roman" w:hAnsi="Times New Roman" w:cs="Times New Roman"/>
        </w:rPr>
      </w:pPr>
      <w:proofErr w:type="gramStart"/>
      <w:r w:rsidRPr="006F3A5D">
        <w:rPr>
          <w:rFonts w:ascii="Times New Roman" w:hAnsi="Times New Roman" w:cs="Times New Roman"/>
        </w:rPr>
        <w:t>A number of</w:t>
      </w:r>
      <w:proofErr w:type="gramEnd"/>
      <w:r w:rsidRPr="006F3A5D">
        <w:rPr>
          <w:rFonts w:ascii="Times New Roman" w:hAnsi="Times New Roman" w:cs="Times New Roman"/>
        </w:rPr>
        <w:t xml:space="preserve"> local and national youth-led advocacy groups support the lowering of the voting age in Australia.  These include</w:t>
      </w:r>
      <w:r w:rsidR="0031345D">
        <w:rPr>
          <w:rFonts w:ascii="Times New Roman" w:hAnsi="Times New Roman" w:cs="Times New Roman"/>
        </w:rPr>
        <w:t xml:space="preserve"> the</w:t>
      </w:r>
      <w:r w:rsidR="00CA6B5E">
        <w:rPr>
          <w:rFonts w:ascii="Times New Roman" w:hAnsi="Times New Roman" w:cs="Times New Roman"/>
        </w:rPr>
        <w:t xml:space="preserve"> </w:t>
      </w:r>
      <w:r w:rsidRPr="00CA6B5E">
        <w:rPr>
          <w:rFonts w:ascii="Times New Roman" w:hAnsi="Times New Roman" w:cs="Times New Roman"/>
        </w:rPr>
        <w:t>Foundation for Young Australians</w:t>
      </w:r>
      <w:r w:rsidR="00CA6B5E" w:rsidRPr="0031345D">
        <w:rPr>
          <w:rStyle w:val="Hyperlink"/>
          <w:rFonts w:ascii="Times New Roman" w:hAnsi="Times New Roman" w:cs="Times New Roman"/>
          <w:color w:val="auto"/>
          <w:u w:val="none"/>
        </w:rPr>
        <w:t xml:space="preserve">, </w:t>
      </w:r>
      <w:r w:rsidRPr="0031345D">
        <w:rPr>
          <w:rFonts w:ascii="Times New Roman" w:hAnsi="Times New Roman" w:cs="Times New Roman"/>
        </w:rPr>
        <w:t>Run for It</w:t>
      </w:r>
      <w:r w:rsidR="00CA6B5E" w:rsidRPr="0031345D">
        <w:rPr>
          <w:rStyle w:val="Hyperlink"/>
          <w:rFonts w:ascii="Times New Roman" w:hAnsi="Times New Roman" w:cs="Times New Roman"/>
          <w:color w:val="auto"/>
          <w:u w:val="none"/>
        </w:rPr>
        <w:t xml:space="preserve">, </w:t>
      </w:r>
      <w:proofErr w:type="gramStart"/>
      <w:r w:rsidRPr="0031345D">
        <w:rPr>
          <w:rFonts w:ascii="Times New Roman" w:hAnsi="Times New Roman" w:cs="Times New Roman"/>
        </w:rPr>
        <w:t>Make</w:t>
      </w:r>
      <w:proofErr w:type="gramEnd"/>
      <w:r w:rsidRPr="0031345D">
        <w:rPr>
          <w:rFonts w:ascii="Times New Roman" w:hAnsi="Times New Roman" w:cs="Times New Roman"/>
        </w:rPr>
        <w:t xml:space="preserve"> it 16</w:t>
      </w:r>
      <w:r w:rsidR="002E63CC" w:rsidRPr="0031345D">
        <w:rPr>
          <w:rFonts w:ascii="Times New Roman" w:hAnsi="Times New Roman" w:cs="Times New Roman"/>
        </w:rPr>
        <w:t xml:space="preserve"> and Youth </w:t>
      </w:r>
      <w:r w:rsidR="002E63CC">
        <w:rPr>
          <w:rFonts w:ascii="Times New Roman" w:hAnsi="Times New Roman" w:cs="Times New Roman"/>
        </w:rPr>
        <w:t>Decide</w:t>
      </w:r>
      <w:r w:rsidR="00CA6B5E">
        <w:rPr>
          <w:rFonts w:ascii="Times New Roman" w:hAnsi="Times New Roman" w:cs="Times New Roman"/>
        </w:rPr>
        <w:t xml:space="preserve">. </w:t>
      </w:r>
      <w:r w:rsidRPr="006F3A5D">
        <w:rPr>
          <w:rFonts w:ascii="Times New Roman" w:hAnsi="Times New Roman" w:cs="Times New Roman"/>
        </w:rPr>
        <w:t xml:space="preserve">Make It 16 is a non-partisan campaign advocating for the vote to be extended to 16 and 17-year-olds in Australia. In 2023 they launched a campaign to lower the voting age in Australia, led by a group of people under the age of 19, who live across all states and territories.  </w:t>
      </w:r>
      <w:r w:rsidR="00326D87" w:rsidRPr="006F3A5D">
        <w:rPr>
          <w:rFonts w:ascii="Times New Roman" w:hAnsi="Times New Roman" w:cs="Times New Roman"/>
        </w:rPr>
        <w:t>Youth Decide is an</w:t>
      </w:r>
      <w:r w:rsidR="002E63CC">
        <w:rPr>
          <w:rFonts w:ascii="Times New Roman" w:hAnsi="Times New Roman" w:cs="Times New Roman"/>
        </w:rPr>
        <w:t xml:space="preserve">other </w:t>
      </w:r>
      <w:r w:rsidR="00326D87" w:rsidRPr="006F3A5D">
        <w:rPr>
          <w:rFonts w:ascii="Times New Roman" w:hAnsi="Times New Roman" w:cs="Times New Roman"/>
        </w:rPr>
        <w:t>Australian initiative dedicated to empowering young people by advocating for their right to vote from the age of 16. The campaign focuses on engaging and educating teenagers about the political process, aiming to integrate their perspectives into the democratic system.</w:t>
      </w:r>
    </w:p>
    <w:p w14:paraId="3193A005" w14:textId="2D17F20C" w:rsidR="00912733" w:rsidRDefault="00912733" w:rsidP="0031345D">
      <w:pPr>
        <w:spacing w:after="120" w:line="240" w:lineRule="auto"/>
        <w:jc w:val="both"/>
      </w:pPr>
      <w:r w:rsidRPr="0031345D">
        <w:rPr>
          <w:rFonts w:ascii="Times New Roman" w:hAnsi="Times New Roman" w:cs="Times New Roman"/>
        </w:rPr>
        <w:t xml:space="preserve">Members of the South Australian Student Representative Council (SA SRC) also want young people to have a say in the decisions that impact their lives and futures.  The 2024 SA SRC cohort comprises 150 students from 80 schools representing 44 South Australian electorates. The Year 10, 11, and 12 students, drawn from across the state, work together to create genuine, student-led change within their communities. For the SA SRC, lowering the voting age is an opportunity to make democracy fairer, improve civics education, recognise young people’s </w:t>
      </w:r>
      <w:proofErr w:type="gramStart"/>
      <w:r w:rsidRPr="0031345D">
        <w:rPr>
          <w:rFonts w:ascii="Times New Roman" w:hAnsi="Times New Roman" w:cs="Times New Roman"/>
        </w:rPr>
        <w:t>rights</w:t>
      </w:r>
      <w:proofErr w:type="gramEnd"/>
      <w:r w:rsidRPr="0031345D">
        <w:rPr>
          <w:rFonts w:ascii="Times New Roman" w:hAnsi="Times New Roman" w:cs="Times New Roman"/>
        </w:rPr>
        <w:t xml:space="preserve"> and strengthen young people’s participation in issues affecting </w:t>
      </w:r>
      <w:r w:rsidRPr="0031345D">
        <w:rPr>
          <w:rFonts w:ascii="Times New Roman" w:hAnsi="Times New Roman" w:cs="Times New Roman"/>
        </w:rPr>
        <w:lastRenderedPageBreak/>
        <w:t>them. In 2024 the SA SRC conduct</w:t>
      </w:r>
      <w:r w:rsidR="0031345D" w:rsidRPr="0031345D">
        <w:rPr>
          <w:rFonts w:ascii="Times New Roman" w:hAnsi="Times New Roman" w:cs="Times New Roman"/>
        </w:rPr>
        <w:t>ed</w:t>
      </w:r>
      <w:r w:rsidRPr="0031345D">
        <w:rPr>
          <w:rFonts w:ascii="Times New Roman" w:hAnsi="Times New Roman" w:cs="Times New Roman"/>
        </w:rPr>
        <w:t xml:space="preserve"> a poll</w:t>
      </w:r>
      <w:r w:rsidR="0031345D" w:rsidRPr="0031345D">
        <w:rPr>
          <w:rFonts w:ascii="Times New Roman" w:hAnsi="Times New Roman" w:cs="Times New Roman"/>
        </w:rPr>
        <w:t xml:space="preserve"> at schools </w:t>
      </w:r>
      <w:r w:rsidRPr="0031345D">
        <w:rPr>
          <w:rFonts w:ascii="Times New Roman" w:hAnsi="Times New Roman" w:cs="Times New Roman"/>
        </w:rPr>
        <w:t>throughout South Australia</w:t>
      </w:r>
      <w:r w:rsidR="0031345D" w:rsidRPr="0031345D">
        <w:rPr>
          <w:rFonts w:ascii="Times New Roman" w:hAnsi="Times New Roman" w:cs="Times New Roman"/>
        </w:rPr>
        <w:t>, asking students in</w:t>
      </w:r>
      <w:r w:rsidRPr="0031345D">
        <w:rPr>
          <w:rFonts w:ascii="Times New Roman" w:hAnsi="Times New Roman" w:cs="Times New Roman"/>
        </w:rPr>
        <w:t xml:space="preserve"> Years 7–13 about their thoughts on the voting age, how prepared they feel to vote, and what they would need to feel more prepared to vote. A total of 769 students from 36 secondary </w:t>
      </w:r>
      <w:r w:rsidR="0031345D" w:rsidRPr="0031345D">
        <w:rPr>
          <w:rFonts w:ascii="Times New Roman" w:hAnsi="Times New Roman" w:cs="Times New Roman"/>
        </w:rPr>
        <w:t>schools</w:t>
      </w:r>
      <w:r w:rsidRPr="0031345D">
        <w:rPr>
          <w:rFonts w:ascii="Times New Roman" w:hAnsi="Times New Roman" w:cs="Times New Roman"/>
        </w:rPr>
        <w:t xml:space="preserve"> responded to the poll, representing </w:t>
      </w:r>
      <w:r w:rsidR="0031345D" w:rsidRPr="0031345D">
        <w:rPr>
          <w:rFonts w:ascii="Times New Roman" w:hAnsi="Times New Roman" w:cs="Times New Roman"/>
        </w:rPr>
        <w:t>g</w:t>
      </w:r>
      <w:r w:rsidRPr="0031345D">
        <w:rPr>
          <w:rFonts w:ascii="Times New Roman" w:hAnsi="Times New Roman" w:cs="Times New Roman"/>
        </w:rPr>
        <w:t>overnment, Catholic and Independent</w:t>
      </w:r>
      <w:r w:rsidR="0031345D" w:rsidRPr="0031345D">
        <w:rPr>
          <w:rFonts w:ascii="Times New Roman" w:hAnsi="Times New Roman" w:cs="Times New Roman"/>
        </w:rPr>
        <w:t xml:space="preserve"> schools across </w:t>
      </w:r>
      <w:r w:rsidRPr="0031345D">
        <w:rPr>
          <w:rFonts w:ascii="Times New Roman" w:hAnsi="Times New Roman" w:cs="Times New Roman"/>
        </w:rPr>
        <w:t xml:space="preserve">17 local government areas. </w:t>
      </w:r>
      <w:r w:rsidR="0031345D" w:rsidRPr="0031345D">
        <w:rPr>
          <w:rFonts w:ascii="Times New Roman" w:hAnsi="Times New Roman" w:cs="Times New Roman"/>
        </w:rPr>
        <w:t xml:space="preserve"> </w:t>
      </w:r>
      <w:r w:rsidRPr="0031345D">
        <w:rPr>
          <w:rFonts w:ascii="Times New Roman" w:hAnsi="Times New Roman" w:cs="Times New Roman"/>
        </w:rPr>
        <w:t>Just over half of all students who participated in the poll thought that the voting age should be lower than 18</w:t>
      </w:r>
      <w:r w:rsidR="0031345D">
        <w:rPr>
          <w:rFonts w:ascii="Times New Roman" w:hAnsi="Times New Roman" w:cs="Times New Roman"/>
        </w:rPr>
        <w:t xml:space="preserve"> (</w:t>
      </w:r>
      <w:r w:rsidR="00991BDF">
        <w:rPr>
          <w:rFonts w:ascii="Times New Roman" w:hAnsi="Times New Roman" w:cs="Times New Roman"/>
        </w:rPr>
        <w:t>SA SRC 2024</w:t>
      </w:r>
      <w:r w:rsidR="0031345D">
        <w:rPr>
          <w:rFonts w:ascii="Times New Roman" w:hAnsi="Times New Roman" w:cs="Times New Roman"/>
        </w:rPr>
        <w:t>)</w:t>
      </w:r>
      <w:r w:rsidRPr="0031345D">
        <w:rPr>
          <w:rFonts w:ascii="Times New Roman" w:hAnsi="Times New Roman" w:cs="Times New Roman"/>
        </w:rPr>
        <w:t>. Those who felt more prepared to vote were more likely to think the voting age should be lower, while those who felt less prepared were more likely to say it should remain at 18</w:t>
      </w:r>
      <w:r w:rsidR="0031345D">
        <w:rPr>
          <w:rFonts w:ascii="Times New Roman" w:hAnsi="Times New Roman" w:cs="Times New Roman"/>
        </w:rPr>
        <w:t xml:space="preserve"> (</w:t>
      </w:r>
      <w:r w:rsidR="00991BDF">
        <w:rPr>
          <w:rFonts w:ascii="Times New Roman" w:hAnsi="Times New Roman" w:cs="Times New Roman"/>
        </w:rPr>
        <w:t>SA SRC 2024</w:t>
      </w:r>
      <w:r w:rsidR="0031345D">
        <w:rPr>
          <w:rFonts w:ascii="Times New Roman" w:hAnsi="Times New Roman" w:cs="Times New Roman"/>
        </w:rPr>
        <w:t>)</w:t>
      </w:r>
      <w:r w:rsidRPr="0031345D">
        <w:rPr>
          <w:rFonts w:ascii="Times New Roman" w:hAnsi="Times New Roman" w:cs="Times New Roman"/>
        </w:rPr>
        <w:t>.  The most common suggestion for a lower voting age was 16 years, followed by 17, 15, and 12 years of age</w:t>
      </w:r>
      <w:r w:rsidR="00991BDF">
        <w:rPr>
          <w:rFonts w:ascii="Times New Roman" w:hAnsi="Times New Roman" w:cs="Times New Roman"/>
        </w:rPr>
        <w:t xml:space="preserve"> (</w:t>
      </w:r>
      <w:r w:rsidR="00991BDF">
        <w:rPr>
          <w:rFonts w:ascii="Times New Roman" w:hAnsi="Times New Roman" w:cs="Times New Roman"/>
        </w:rPr>
        <w:t>SA SRC 2024</w:t>
      </w:r>
      <w:r w:rsidR="0031345D">
        <w:rPr>
          <w:rFonts w:ascii="Times New Roman" w:hAnsi="Times New Roman" w:cs="Times New Roman"/>
        </w:rPr>
        <w:t>)</w:t>
      </w:r>
      <w:r w:rsidR="00991BDF">
        <w:rPr>
          <w:rFonts w:ascii="Times New Roman" w:hAnsi="Times New Roman" w:cs="Times New Roman"/>
        </w:rPr>
        <w:t>.</w:t>
      </w:r>
    </w:p>
    <w:p w14:paraId="67587888" w14:textId="68A1D9EC" w:rsidR="00EE228F" w:rsidRPr="002376DE" w:rsidRDefault="001D0277" w:rsidP="002376DE">
      <w:pPr>
        <w:pStyle w:val="Heading3"/>
      </w:pPr>
      <w:r w:rsidRPr="002376DE">
        <w:t>Missing pieces of the puzzle</w:t>
      </w:r>
    </w:p>
    <w:p w14:paraId="3690D4D0" w14:textId="4C2A37AB" w:rsidR="003872DA" w:rsidRPr="00912733" w:rsidRDefault="00304DA9" w:rsidP="002D0CB1">
      <w:pPr>
        <w:spacing w:after="120" w:line="240" w:lineRule="auto"/>
        <w:jc w:val="both"/>
        <w:rPr>
          <w:rFonts w:ascii="Times New Roman" w:hAnsi="Times New Roman" w:cs="Times New Roman"/>
        </w:rPr>
      </w:pPr>
      <w:r w:rsidRPr="00912733">
        <w:rPr>
          <w:rFonts w:ascii="Times New Roman" w:hAnsi="Times New Roman" w:cs="Times New Roman"/>
        </w:rPr>
        <w:t xml:space="preserve">The above examples </w:t>
      </w:r>
      <w:r w:rsidR="003872DA" w:rsidRPr="00912733">
        <w:rPr>
          <w:rFonts w:ascii="Times New Roman" w:hAnsi="Times New Roman" w:cs="Times New Roman"/>
        </w:rPr>
        <w:t>are initiatives and programs to be proud of.  They are inspiring young people to learn about democracy.  But they remain far too conventional to spark the type of fundamental shift that needs to occur to empower young people to shape and change our democracy to fit their needs.</w:t>
      </w:r>
      <w:r w:rsidR="00CB459F" w:rsidRPr="00912733">
        <w:rPr>
          <w:rFonts w:ascii="Times New Roman" w:hAnsi="Times New Roman" w:cs="Times New Roman"/>
        </w:rPr>
        <w:t xml:space="preserve">  They also stop short of facilitating the type of </w:t>
      </w:r>
      <w:r w:rsidR="00970B07" w:rsidRPr="00912733">
        <w:rPr>
          <w:rFonts w:ascii="Times New Roman" w:hAnsi="Times New Roman" w:cs="Times New Roman"/>
        </w:rPr>
        <w:t>political and social</w:t>
      </w:r>
      <w:r w:rsidR="00CB459F" w:rsidRPr="00912733">
        <w:rPr>
          <w:rFonts w:ascii="Times New Roman" w:hAnsi="Times New Roman" w:cs="Times New Roman"/>
        </w:rPr>
        <w:t xml:space="preserve"> </w:t>
      </w:r>
      <w:r w:rsidR="00CB459F" w:rsidRPr="00912733">
        <w:rPr>
          <w:rFonts w:ascii="Times New Roman" w:hAnsi="Times New Roman" w:cs="Times New Roman"/>
          <w:i/>
          <w:iCs/>
        </w:rPr>
        <w:t xml:space="preserve">shift </w:t>
      </w:r>
      <w:r w:rsidR="00CB459F" w:rsidRPr="00912733">
        <w:rPr>
          <w:rFonts w:ascii="Times New Roman" w:hAnsi="Times New Roman" w:cs="Times New Roman"/>
        </w:rPr>
        <w:t xml:space="preserve">that is needed to </w:t>
      </w:r>
      <w:r w:rsidR="00970B07" w:rsidRPr="00912733">
        <w:rPr>
          <w:rFonts w:ascii="Times New Roman" w:hAnsi="Times New Roman" w:cs="Times New Roman"/>
        </w:rPr>
        <w:t xml:space="preserve">secure democratic resilience across generations. </w:t>
      </w:r>
      <w:r w:rsidR="008859A3" w:rsidRPr="00912733">
        <w:rPr>
          <w:rFonts w:ascii="Times New Roman" w:hAnsi="Times New Roman" w:cs="Times New Roman"/>
        </w:rPr>
        <w:t xml:space="preserve"> Such a shift involves not just </w:t>
      </w:r>
      <w:r w:rsidR="008859A3" w:rsidRPr="00912733">
        <w:rPr>
          <w:rFonts w:ascii="Times New Roman" w:hAnsi="Times New Roman" w:cs="Times New Roman"/>
          <w:i/>
          <w:iCs/>
        </w:rPr>
        <w:t xml:space="preserve">knowledge transfer </w:t>
      </w:r>
      <w:r w:rsidR="008859A3" w:rsidRPr="00912733">
        <w:rPr>
          <w:rFonts w:ascii="Times New Roman" w:hAnsi="Times New Roman" w:cs="Times New Roman"/>
        </w:rPr>
        <w:t xml:space="preserve">between </w:t>
      </w:r>
      <w:r w:rsidR="00DF1BF3" w:rsidRPr="00912733">
        <w:rPr>
          <w:rFonts w:ascii="Times New Roman" w:hAnsi="Times New Roman" w:cs="Times New Roman"/>
        </w:rPr>
        <w:t>the older, more experienced generation and the democratic institutions is has created</w:t>
      </w:r>
      <w:r w:rsidR="00842EB2" w:rsidRPr="00912733">
        <w:rPr>
          <w:rFonts w:ascii="Times New Roman" w:hAnsi="Times New Roman" w:cs="Times New Roman"/>
        </w:rPr>
        <w:t xml:space="preserve">, </w:t>
      </w:r>
      <w:proofErr w:type="gramStart"/>
      <w:r w:rsidR="00842EB2" w:rsidRPr="00912733">
        <w:rPr>
          <w:rFonts w:ascii="Times New Roman" w:hAnsi="Times New Roman" w:cs="Times New Roman"/>
        </w:rPr>
        <w:t>protected</w:t>
      </w:r>
      <w:proofErr w:type="gramEnd"/>
      <w:r w:rsidR="00842EB2" w:rsidRPr="00912733">
        <w:rPr>
          <w:rFonts w:ascii="Times New Roman" w:hAnsi="Times New Roman" w:cs="Times New Roman"/>
        </w:rPr>
        <w:t xml:space="preserve"> or sustained</w:t>
      </w:r>
      <w:r w:rsidR="00DF1BF3" w:rsidRPr="00912733">
        <w:rPr>
          <w:rFonts w:ascii="Times New Roman" w:hAnsi="Times New Roman" w:cs="Times New Roman"/>
        </w:rPr>
        <w:t xml:space="preserve">, but </w:t>
      </w:r>
      <w:r w:rsidR="00842EB2" w:rsidRPr="00912733">
        <w:rPr>
          <w:rFonts w:ascii="Times New Roman" w:hAnsi="Times New Roman" w:cs="Times New Roman"/>
          <w:i/>
          <w:iCs/>
        </w:rPr>
        <w:t xml:space="preserve">power transfer </w:t>
      </w:r>
      <w:r w:rsidR="00842EB2" w:rsidRPr="00912733">
        <w:rPr>
          <w:rFonts w:ascii="Times New Roman" w:hAnsi="Times New Roman" w:cs="Times New Roman"/>
        </w:rPr>
        <w:t xml:space="preserve">to re-model, re-defined and re-conceptualise what our modern democracy should or could look like.  </w:t>
      </w:r>
    </w:p>
    <w:p w14:paraId="3152F699" w14:textId="3324F21E" w:rsidR="006D6D8F" w:rsidRPr="006F3A5D" w:rsidRDefault="00842EB2" w:rsidP="0057114C">
      <w:pPr>
        <w:spacing w:after="120" w:line="240" w:lineRule="auto"/>
        <w:jc w:val="both"/>
        <w:rPr>
          <w:rFonts w:ascii="Times New Roman" w:hAnsi="Times New Roman" w:cs="Times New Roman"/>
        </w:rPr>
      </w:pPr>
      <w:r w:rsidRPr="006F3A5D">
        <w:rPr>
          <w:rFonts w:ascii="Times New Roman" w:hAnsi="Times New Roman" w:cs="Times New Roman"/>
        </w:rPr>
        <w:t>The challenge is therefore</w:t>
      </w:r>
      <w:r w:rsidR="00C2574F" w:rsidRPr="006F3A5D">
        <w:rPr>
          <w:rFonts w:ascii="Times New Roman" w:hAnsi="Times New Roman" w:cs="Times New Roman"/>
        </w:rPr>
        <w:t xml:space="preserve"> much greater than just ‘teaching young people about our democracy’.  It must extend to</w:t>
      </w:r>
      <w:r w:rsidRPr="006F3A5D">
        <w:rPr>
          <w:rFonts w:ascii="Times New Roman" w:hAnsi="Times New Roman" w:cs="Times New Roman"/>
        </w:rPr>
        <w:t xml:space="preserve"> </w:t>
      </w:r>
      <w:r w:rsidR="00EA75B9" w:rsidRPr="006F3A5D">
        <w:rPr>
          <w:rFonts w:ascii="Times New Roman" w:hAnsi="Times New Roman" w:cs="Times New Roman"/>
          <w:i/>
          <w:iCs/>
        </w:rPr>
        <w:t>empowe</w:t>
      </w:r>
      <w:r w:rsidR="00C2574F" w:rsidRPr="006F3A5D">
        <w:rPr>
          <w:rFonts w:ascii="Times New Roman" w:hAnsi="Times New Roman" w:cs="Times New Roman"/>
          <w:i/>
          <w:iCs/>
        </w:rPr>
        <w:t>ring</w:t>
      </w:r>
      <w:r w:rsidR="00EA75B9" w:rsidRPr="006F3A5D">
        <w:rPr>
          <w:rFonts w:ascii="Times New Roman" w:hAnsi="Times New Roman" w:cs="Times New Roman"/>
          <w:i/>
          <w:iCs/>
        </w:rPr>
        <w:t xml:space="preserve"> </w:t>
      </w:r>
      <w:r w:rsidR="00EA75B9" w:rsidRPr="006F3A5D">
        <w:rPr>
          <w:rFonts w:ascii="Times New Roman" w:hAnsi="Times New Roman" w:cs="Times New Roman"/>
        </w:rPr>
        <w:t xml:space="preserve">young people to </w:t>
      </w:r>
      <w:r w:rsidR="00EA75B9" w:rsidRPr="006F3A5D">
        <w:rPr>
          <w:rFonts w:ascii="Times New Roman" w:hAnsi="Times New Roman" w:cs="Times New Roman"/>
          <w:i/>
          <w:iCs/>
        </w:rPr>
        <w:t xml:space="preserve">shape and change </w:t>
      </w:r>
      <w:r w:rsidR="00EA75B9" w:rsidRPr="006F3A5D">
        <w:rPr>
          <w:rFonts w:ascii="Times New Roman" w:hAnsi="Times New Roman" w:cs="Times New Roman"/>
        </w:rPr>
        <w:t xml:space="preserve">our democracy to fit </w:t>
      </w:r>
      <w:r w:rsidR="00EA75B9" w:rsidRPr="006F3A5D">
        <w:rPr>
          <w:rFonts w:ascii="Times New Roman" w:hAnsi="Times New Roman" w:cs="Times New Roman"/>
          <w:i/>
          <w:iCs/>
        </w:rPr>
        <w:t xml:space="preserve">their needs.  </w:t>
      </w:r>
      <w:r w:rsidR="0031345D">
        <w:rPr>
          <w:rFonts w:ascii="Times New Roman" w:hAnsi="Times New Roman" w:cs="Times New Roman"/>
        </w:rPr>
        <w:t>Many e</w:t>
      </w:r>
      <w:r w:rsidR="00EA75B9" w:rsidRPr="006F3A5D">
        <w:rPr>
          <w:rFonts w:ascii="Times New Roman" w:hAnsi="Times New Roman" w:cs="Times New Roman"/>
        </w:rPr>
        <w:t xml:space="preserve">xisting efforts continue to imagine our parliaments, or our politics, with reference the past.  Older people – that is anyone over 25 – are out the front, in control, in </w:t>
      </w:r>
      <w:r w:rsidR="00EA75B9" w:rsidRPr="006F3A5D">
        <w:rPr>
          <w:rFonts w:ascii="Times New Roman" w:hAnsi="Times New Roman" w:cs="Times New Roman"/>
          <w:i/>
          <w:iCs/>
        </w:rPr>
        <w:t>the way</w:t>
      </w:r>
      <w:r w:rsidR="00EA75B9" w:rsidRPr="006F3A5D">
        <w:rPr>
          <w:rFonts w:ascii="Times New Roman" w:hAnsi="Times New Roman" w:cs="Times New Roman"/>
        </w:rPr>
        <w:t>.  We need a more ambitious agenda</w:t>
      </w:r>
      <w:r w:rsidR="0031345D">
        <w:rPr>
          <w:rFonts w:ascii="Times New Roman" w:hAnsi="Times New Roman" w:cs="Times New Roman"/>
        </w:rPr>
        <w:t xml:space="preserve"> - o</w:t>
      </w:r>
      <w:r w:rsidR="00EA75B9" w:rsidRPr="006F3A5D">
        <w:rPr>
          <w:rFonts w:ascii="Times New Roman" w:hAnsi="Times New Roman" w:cs="Times New Roman"/>
        </w:rPr>
        <w:t>ne that is designed and led by young people themselves.</w:t>
      </w:r>
      <w:r w:rsidR="0057114C">
        <w:rPr>
          <w:rFonts w:ascii="Times New Roman" w:hAnsi="Times New Roman" w:cs="Times New Roman"/>
        </w:rPr>
        <w:t xml:space="preserve">  </w:t>
      </w:r>
      <w:r w:rsidR="00092306" w:rsidRPr="006F3A5D">
        <w:rPr>
          <w:rFonts w:ascii="Times New Roman" w:hAnsi="Times New Roman" w:cs="Times New Roman"/>
        </w:rPr>
        <w:t xml:space="preserve">As </w:t>
      </w:r>
      <w:r w:rsidR="00F35101" w:rsidRPr="006F3A5D">
        <w:rPr>
          <w:rFonts w:ascii="Times New Roman" w:hAnsi="Times New Roman" w:cs="Times New Roman"/>
        </w:rPr>
        <w:t xml:space="preserve">Hill et al </w:t>
      </w:r>
      <w:r w:rsidR="00F67835">
        <w:rPr>
          <w:rFonts w:ascii="Times New Roman" w:hAnsi="Times New Roman" w:cs="Times New Roman"/>
        </w:rPr>
        <w:t>submitted in their submission to the</w:t>
      </w:r>
      <w:r w:rsidR="00F35101" w:rsidRPr="006F3A5D">
        <w:rPr>
          <w:rFonts w:ascii="Times New Roman" w:hAnsi="Times New Roman" w:cs="Times New Roman"/>
        </w:rPr>
        <w:t xml:space="preserve"> JSCEM</w:t>
      </w:r>
      <w:r w:rsidR="00F67835">
        <w:rPr>
          <w:rFonts w:ascii="Times New Roman" w:hAnsi="Times New Roman" w:cs="Times New Roman"/>
        </w:rPr>
        <w:t xml:space="preserve"> </w:t>
      </w:r>
      <w:r w:rsidR="00EA576D">
        <w:rPr>
          <w:rFonts w:ascii="Times New Roman" w:hAnsi="Times New Roman" w:cs="Times New Roman"/>
        </w:rPr>
        <w:t>Inquiry</w:t>
      </w:r>
      <w:r w:rsidR="00EA576D" w:rsidRPr="006F3A5D">
        <w:rPr>
          <w:rFonts w:ascii="Times New Roman" w:hAnsi="Times New Roman" w:cs="Times New Roman"/>
        </w:rPr>
        <w:t>:</w:t>
      </w:r>
    </w:p>
    <w:p w14:paraId="0E9A258A" w14:textId="3259B256" w:rsidR="00F35101" w:rsidRPr="00F67835" w:rsidRDefault="00F35101" w:rsidP="002D0CB1">
      <w:pPr>
        <w:pStyle w:val="Quote"/>
        <w:spacing w:after="120"/>
      </w:pPr>
      <w:r w:rsidRPr="00F67835">
        <w:t>Australia has a well-deserved reputation as a democratic innovator and</w:t>
      </w:r>
      <w:proofErr w:type="gramStart"/>
      <w:r w:rsidRPr="00F67835">
        <w:t>, in particular, an</w:t>
      </w:r>
      <w:proofErr w:type="gramEnd"/>
      <w:r w:rsidR="00FE41CD">
        <w:t xml:space="preserve"> </w:t>
      </w:r>
      <w:r w:rsidRPr="00F67835">
        <w:t>electoral innovator (Sawer, 2001; Hill, 2021). Historically, it has also been one of the most</w:t>
      </w:r>
      <w:r w:rsidR="00FE41CD">
        <w:t xml:space="preserve"> </w:t>
      </w:r>
      <w:r w:rsidRPr="00F67835">
        <w:t>well-managed, trusted, and robust democracies in the world due to its bold and successful</w:t>
      </w:r>
      <w:r w:rsidR="00FE41CD">
        <w:t xml:space="preserve"> </w:t>
      </w:r>
      <w:r w:rsidRPr="00F67835">
        <w:t>experiments in voting inclusion and integrity. But, despite compulsory voting, our citizens are</w:t>
      </w:r>
      <w:r w:rsidR="00EB72EE" w:rsidRPr="00F67835">
        <w:t xml:space="preserve"> </w:t>
      </w:r>
      <w:r w:rsidRPr="00F67835">
        <w:t>increasingly less able or willing to either vote or to vote formally. We must act now to arrest</w:t>
      </w:r>
      <w:r w:rsidR="00EB72EE" w:rsidRPr="00F67835">
        <w:t xml:space="preserve"> </w:t>
      </w:r>
      <w:r w:rsidRPr="00F67835">
        <w:t>this problem and to educate future electors about their vital role in preserving Australian</w:t>
      </w:r>
      <w:r w:rsidR="00EB72EE" w:rsidRPr="00F67835">
        <w:t xml:space="preserve"> </w:t>
      </w:r>
      <w:r w:rsidRPr="00F67835">
        <w:t>democracy. Australia is in a unique position to defend itself from both internal and external</w:t>
      </w:r>
      <w:r w:rsidR="00EB72EE" w:rsidRPr="00F67835">
        <w:t xml:space="preserve"> </w:t>
      </w:r>
      <w:r w:rsidRPr="00F67835">
        <w:t>threats to democracy, not only because we use compulsory voting but also because of our high</w:t>
      </w:r>
      <w:r w:rsidR="00EB72EE" w:rsidRPr="00F67835">
        <w:t xml:space="preserve"> </w:t>
      </w:r>
      <w:r w:rsidRPr="00F67835">
        <w:t>standards of electoral management and integrity. However, we can no longer rely entirely on</w:t>
      </w:r>
      <w:r w:rsidR="00EB72EE" w:rsidRPr="00F67835">
        <w:t xml:space="preserve"> </w:t>
      </w:r>
      <w:r w:rsidRPr="00F67835">
        <w:t>these institutional features to protect our democracy. Citizens must now be better activated to</w:t>
      </w:r>
      <w:r w:rsidR="00EB72EE" w:rsidRPr="00F67835">
        <w:t xml:space="preserve"> </w:t>
      </w:r>
      <w:r w:rsidRPr="00F67835">
        <w:t>do so.</w:t>
      </w:r>
    </w:p>
    <w:p w14:paraId="60A5AECA" w14:textId="77777777" w:rsidR="00A46CEC" w:rsidRPr="006F3A5D" w:rsidRDefault="00A46CEC" w:rsidP="002D0CB1">
      <w:pPr>
        <w:pStyle w:val="Heading2"/>
        <w:spacing w:before="0" w:beforeAutospacing="0" w:after="120" w:afterAutospacing="0"/>
        <w:rPr>
          <w:lang w:val="en-GB"/>
        </w:rPr>
      </w:pPr>
      <w:r w:rsidRPr="006F3A5D">
        <w:rPr>
          <w:lang w:val="en-GB"/>
        </w:rPr>
        <w:t xml:space="preserve">Developing systematic approaches to </w:t>
      </w:r>
      <w:r w:rsidRPr="006F3A5D">
        <w:t xml:space="preserve">democratic engagement and democratic listening in parliaments: insights from </w:t>
      </w:r>
      <w:r w:rsidRPr="006F3A5D">
        <w:rPr>
          <w:lang w:val="en-GB"/>
        </w:rPr>
        <w:t xml:space="preserve">England, Scotland, </w:t>
      </w:r>
      <w:proofErr w:type="gramStart"/>
      <w:r w:rsidRPr="006F3A5D">
        <w:rPr>
          <w:lang w:val="en-GB"/>
        </w:rPr>
        <w:t>Ireland</w:t>
      </w:r>
      <w:proofErr w:type="gramEnd"/>
      <w:r w:rsidRPr="006F3A5D">
        <w:rPr>
          <w:lang w:val="en-GB"/>
        </w:rPr>
        <w:t xml:space="preserve"> and Wales</w:t>
      </w:r>
    </w:p>
    <w:p w14:paraId="4F2F651B" w14:textId="09661785"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this next section of the </w:t>
      </w:r>
      <w:r w:rsidR="00D33E3F" w:rsidRPr="006F3A5D">
        <w:rPr>
          <w:rFonts w:ascii="Times New Roman" w:hAnsi="Times New Roman" w:cs="Times New Roman"/>
        </w:rPr>
        <w:t>Paper</w:t>
      </w:r>
      <w:r w:rsidRPr="006F3A5D">
        <w:rPr>
          <w:rFonts w:ascii="Times New Roman" w:hAnsi="Times New Roman" w:cs="Times New Roman"/>
        </w:rPr>
        <w:t>, I provide a summary of my reflections and findings following my discussions and experiences when travelling in England, Scotland, Northern Ireland, Republic of Ireland and Wales in September – October 2023 as part of my Churchill Fellowship on Youth</w:t>
      </w:r>
      <w:r w:rsidRPr="006F3A5D">
        <w:rPr>
          <w:rFonts w:ascii="Times New Roman" w:hAnsi="Times New Roman" w:cs="Times New Roman"/>
          <w:color w:val="D5DCE4" w:themeColor="text2" w:themeTint="33"/>
          <w:sz w:val="32"/>
          <w:szCs w:val="32"/>
        </w:rPr>
        <w:t xml:space="preserve"> </w:t>
      </w:r>
      <w:r w:rsidRPr="006F3A5D">
        <w:rPr>
          <w:rFonts w:ascii="Times New Roman" w:hAnsi="Times New Roman" w:cs="Times New Roman"/>
        </w:rPr>
        <w:t xml:space="preserve">Engagement with </w:t>
      </w:r>
      <w:r w:rsidRPr="00C03C9E">
        <w:rPr>
          <w:rFonts w:ascii="Times New Roman" w:hAnsi="Times New Roman" w:cs="Times New Roman"/>
        </w:rPr>
        <w:t>Parliaments (Moulds</w:t>
      </w:r>
      <w:r w:rsidR="00C03C9E">
        <w:rPr>
          <w:rFonts w:ascii="Times New Roman" w:hAnsi="Times New Roman" w:cs="Times New Roman"/>
        </w:rPr>
        <w:t xml:space="preserve"> </w:t>
      </w:r>
      <w:r w:rsidRPr="00C03C9E">
        <w:rPr>
          <w:rFonts w:ascii="Times New Roman" w:hAnsi="Times New Roman" w:cs="Times New Roman"/>
        </w:rPr>
        <w:t>2023</w:t>
      </w:r>
      <w:r w:rsidR="00C03C9E" w:rsidRPr="00C03C9E">
        <w:rPr>
          <w:rFonts w:ascii="Times New Roman" w:hAnsi="Times New Roman" w:cs="Times New Roman"/>
        </w:rPr>
        <w:t xml:space="preserve"> and 2024</w:t>
      </w:r>
      <w:r w:rsidRPr="00C03C9E">
        <w:rPr>
          <w:rFonts w:ascii="Times New Roman" w:hAnsi="Times New Roman" w:cs="Times New Roman"/>
        </w:rPr>
        <w:t>).</w:t>
      </w:r>
      <w:r w:rsidRPr="006F3A5D">
        <w:rPr>
          <w:rFonts w:ascii="Times New Roman" w:hAnsi="Times New Roman" w:cs="Times New Roman"/>
        </w:rPr>
        <w:t xml:space="preserve">  </w:t>
      </w:r>
    </w:p>
    <w:p w14:paraId="2DA08497" w14:textId="4327BAFA" w:rsidR="003D7FCD"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Those insights and experiences have prompted me to identify </w:t>
      </w:r>
      <w:r w:rsidR="0057114C">
        <w:rPr>
          <w:rFonts w:ascii="Times New Roman" w:hAnsi="Times New Roman" w:cs="Times New Roman"/>
        </w:rPr>
        <w:t>several</w:t>
      </w:r>
      <w:r w:rsidRPr="006F3A5D">
        <w:rPr>
          <w:rFonts w:ascii="Times New Roman" w:hAnsi="Times New Roman" w:cs="Times New Roman"/>
        </w:rPr>
        <w:t xml:space="preserve"> catalysts for change that I consider to be relevant </w:t>
      </w:r>
      <w:r w:rsidR="003D7FCD" w:rsidRPr="006F3A5D">
        <w:rPr>
          <w:rFonts w:ascii="Times New Roman" w:hAnsi="Times New Roman" w:cs="Times New Roman"/>
        </w:rPr>
        <w:t>pre-cursors to the task of building and sustaining intergenerational resilience</w:t>
      </w:r>
      <w:r w:rsidR="007F45D4" w:rsidRPr="006F3A5D">
        <w:rPr>
          <w:rFonts w:ascii="Times New Roman" w:hAnsi="Times New Roman" w:cs="Times New Roman"/>
        </w:rPr>
        <w:t xml:space="preserve"> through effective</w:t>
      </w:r>
      <w:r w:rsidR="008215A5" w:rsidRPr="006F3A5D">
        <w:rPr>
          <w:rFonts w:ascii="Times New Roman" w:hAnsi="Times New Roman" w:cs="Times New Roman"/>
        </w:rPr>
        <w:t xml:space="preserve"> democratic listening</w:t>
      </w:r>
      <w:r w:rsidR="007F45D4" w:rsidRPr="006F3A5D">
        <w:rPr>
          <w:rFonts w:ascii="Times New Roman" w:hAnsi="Times New Roman" w:cs="Times New Roman"/>
        </w:rPr>
        <w:t xml:space="preserve"> across all cohorts of citizens, including young people.</w:t>
      </w:r>
      <w:r w:rsidRPr="006F3A5D">
        <w:rPr>
          <w:rFonts w:ascii="Times New Roman" w:hAnsi="Times New Roman" w:cs="Times New Roman"/>
        </w:rPr>
        <w:t xml:space="preserve"> </w:t>
      </w:r>
    </w:p>
    <w:p w14:paraId="6846A1F6" w14:textId="2578FD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These catalysts can be sparked by different institutions of government, including parliaments, executive </w:t>
      </w:r>
      <w:proofErr w:type="gramStart"/>
      <w:r w:rsidRPr="006F3A5D">
        <w:rPr>
          <w:rFonts w:ascii="Times New Roman" w:hAnsi="Times New Roman" w:cs="Times New Roman"/>
        </w:rPr>
        <w:t>governments</w:t>
      </w:r>
      <w:proofErr w:type="gramEnd"/>
      <w:r w:rsidRPr="006F3A5D">
        <w:rPr>
          <w:rFonts w:ascii="Times New Roman" w:hAnsi="Times New Roman" w:cs="Times New Roman"/>
        </w:rPr>
        <w:t xml:space="preserve"> and local councils. They can also originate from non-state actors, or global events well outside the control of any individual nation state.  Some can be described as ‘external disruptions’ – unpredictable or uncontrollable events taking place outside or around the institution itself.  Others are internal cultural shifts – often led by a specific individual champion or group of champions within the institution – that </w:t>
      </w:r>
      <w:r w:rsidRPr="006F3A5D">
        <w:rPr>
          <w:rFonts w:ascii="Times New Roman" w:hAnsi="Times New Roman" w:cs="Times New Roman"/>
        </w:rPr>
        <w:lastRenderedPageBreak/>
        <w:t xml:space="preserve">change the way the institution undertakes its core business, but without threatening its key democratic functions, </w:t>
      </w:r>
      <w:proofErr w:type="gramStart"/>
      <w:r w:rsidRPr="006F3A5D">
        <w:rPr>
          <w:rFonts w:ascii="Times New Roman" w:hAnsi="Times New Roman" w:cs="Times New Roman"/>
        </w:rPr>
        <w:t>values</w:t>
      </w:r>
      <w:proofErr w:type="gramEnd"/>
      <w:r w:rsidRPr="006F3A5D">
        <w:rPr>
          <w:rFonts w:ascii="Times New Roman" w:hAnsi="Times New Roman" w:cs="Times New Roman"/>
        </w:rPr>
        <w:t xml:space="preserve"> or identity. My generous and talented friend Richard Dall has captured these thoughts in the below illustration. </w:t>
      </w:r>
    </w:p>
    <w:p w14:paraId="78C03C72" w14:textId="77777777" w:rsidR="00A46CEC" w:rsidRPr="006F3A5D" w:rsidRDefault="00A46CEC" w:rsidP="002D0CB1">
      <w:pPr>
        <w:spacing w:after="120" w:line="240" w:lineRule="auto"/>
        <w:jc w:val="center"/>
        <w:rPr>
          <w:rFonts w:ascii="Times New Roman" w:hAnsi="Times New Roman" w:cs="Times New Roman"/>
        </w:rPr>
      </w:pPr>
      <w:r w:rsidRPr="006F3A5D">
        <w:rPr>
          <w:rFonts w:ascii="Times New Roman" w:hAnsi="Times New Roman" w:cs="Times New Roman"/>
          <w:noProof/>
        </w:rPr>
        <w:drawing>
          <wp:inline distT="0" distB="0" distL="0" distR="0" wp14:anchorId="60FC4553" wp14:editId="48FC7331">
            <wp:extent cx="3899792" cy="2884913"/>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821" t="23816" r="31366" b="11946"/>
                    <a:stretch/>
                  </pic:blipFill>
                  <pic:spPr bwMode="auto">
                    <a:xfrm>
                      <a:off x="0" y="0"/>
                      <a:ext cx="3908502" cy="2891356"/>
                    </a:xfrm>
                    <a:prstGeom prst="rect">
                      <a:avLst/>
                    </a:prstGeom>
                    <a:ln>
                      <a:noFill/>
                    </a:ln>
                    <a:extLst>
                      <a:ext uri="{53640926-AAD7-44D8-BBD7-CCE9431645EC}">
                        <a14:shadowObscured xmlns:a14="http://schemas.microsoft.com/office/drawing/2010/main"/>
                      </a:ext>
                    </a:extLst>
                  </pic:spPr>
                </pic:pic>
              </a:graphicData>
            </a:graphic>
          </wp:inline>
        </w:drawing>
      </w:r>
    </w:p>
    <w:p w14:paraId="6A152B75" w14:textId="5E2F6DF7" w:rsidR="00A46CEC" w:rsidRPr="006F3A5D" w:rsidRDefault="00A46CEC" w:rsidP="002D0CB1">
      <w:pPr>
        <w:spacing w:after="120" w:line="240" w:lineRule="auto"/>
        <w:jc w:val="both"/>
        <w:rPr>
          <w:rFonts w:ascii="Times New Roman" w:hAnsi="Times New Roman" w:cs="Times New Roman"/>
          <w:lang w:val="en-GB"/>
        </w:rPr>
      </w:pPr>
      <w:r w:rsidRPr="006F3A5D">
        <w:rPr>
          <w:rFonts w:ascii="Times New Roman" w:hAnsi="Times New Roman" w:cs="Times New Roman"/>
        </w:rPr>
        <w:t>In the illustration, the ‘</w:t>
      </w:r>
      <w:r w:rsidRPr="006F3A5D">
        <w:rPr>
          <w:rFonts w:ascii="Times New Roman" w:hAnsi="Times New Roman" w:cs="Times New Roman"/>
          <w:b/>
          <w:bCs/>
        </w:rPr>
        <w:t>internal cultural shifts</w:t>
      </w:r>
      <w:r w:rsidRPr="006F3A5D">
        <w:rPr>
          <w:rFonts w:ascii="Times New Roman" w:hAnsi="Times New Roman" w:cs="Times New Roman"/>
        </w:rPr>
        <w:t xml:space="preserve">’ are depicted as things coming up from within the institution, the solid building blocks supporting change or reform.  They include investments in people with skills in (1) collecting demographic data, to know more about who is disconnected and why; and (2) building strategic relationships to know how to reach disengaged groups and be seen as a legitimate, trusted partner.  They also include creating environments where (3) engagement skills are integrated across core business so that all staff think about how to include diverse range of voices in parliamentary practices and procedures; and (4) all actors are comfortable with alternative forms of democratic engagement and have an open curiosity about digital engagement, civil </w:t>
      </w:r>
      <w:proofErr w:type="gramStart"/>
      <w:r w:rsidRPr="006F3A5D">
        <w:rPr>
          <w:rFonts w:ascii="Times New Roman" w:hAnsi="Times New Roman" w:cs="Times New Roman"/>
        </w:rPr>
        <w:t>disobedience</w:t>
      </w:r>
      <w:proofErr w:type="gramEnd"/>
      <w:r w:rsidRPr="006F3A5D">
        <w:rPr>
          <w:rFonts w:ascii="Times New Roman" w:hAnsi="Times New Roman" w:cs="Times New Roman"/>
        </w:rPr>
        <w:t xml:space="preserve"> and other forms of social action.  These internal cultural shifts also include leadership within parliaments (5) valuing quality engagement as a strategic objective and assessing and evaluating progress towards targets and goals collectively and in individual key performance indicators and (6) taking pride in the fact that good quality public engagement has a discernible, positive impact on the democratic outputs of the institution, including the content or shape of laws made, or policies developed.</w:t>
      </w:r>
      <w:r w:rsidR="001560F2">
        <w:rPr>
          <w:rFonts w:ascii="Times New Roman" w:hAnsi="Times New Roman" w:cs="Times New Roman"/>
        </w:rPr>
        <w:t xml:space="preserve">  </w:t>
      </w:r>
      <w:r w:rsidRPr="006F3A5D">
        <w:rPr>
          <w:rFonts w:ascii="Times New Roman" w:hAnsi="Times New Roman" w:cs="Times New Roman"/>
          <w:lang w:val="en-GB"/>
        </w:rPr>
        <w:t xml:space="preserve">Some of the examples of these ‘catalysts for change’ are described below. </w:t>
      </w:r>
    </w:p>
    <w:p w14:paraId="49311EF1" w14:textId="77777777" w:rsidR="00A46CEC" w:rsidRPr="006F3A5D" w:rsidRDefault="00A46CEC" w:rsidP="002376DE">
      <w:pPr>
        <w:pStyle w:val="Heading3"/>
      </w:pPr>
      <w:r w:rsidRPr="006F3A5D">
        <w:t xml:space="preserve">Youth led approaches to education that incentivise direct democratic participation in parliamentary </w:t>
      </w:r>
      <w:proofErr w:type="gramStart"/>
      <w:r w:rsidRPr="006F3A5D">
        <w:t>business</w:t>
      </w:r>
      <w:proofErr w:type="gramEnd"/>
    </w:p>
    <w:p w14:paraId="7C7CE28E"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Welsh Youth Parliament (WYP) is a youth model legislature established in 2018 by the Senedd in Wales. The WYP aims to provide a forum for the voice of young people in Wales, and to bring together young people who want to make Wales a better place for young people.  The WYP also aims to provide young people with the opportunity to experience aspects of parliamentary practice and procedure. </w:t>
      </w:r>
    </w:p>
    <w:p w14:paraId="5E0C6E13"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establishment of the WYP occurred within the context of devolution and increasing Welsh independence from Westminster, as well as reforms that enabled </w:t>
      </w:r>
      <w:proofErr w:type="gramStart"/>
      <w:r w:rsidRPr="006F3A5D">
        <w:rPr>
          <w:rFonts w:ascii="Times New Roman" w:hAnsi="Times New Roman" w:cs="Times New Roman"/>
        </w:rPr>
        <w:t>16 and 17 year olds</w:t>
      </w:r>
      <w:proofErr w:type="gramEnd"/>
      <w:r w:rsidRPr="006F3A5D">
        <w:rPr>
          <w:rFonts w:ascii="Times New Roman" w:hAnsi="Times New Roman" w:cs="Times New Roman"/>
        </w:rPr>
        <w:t xml:space="preserve"> to vote in local elections in Wales.  The WYP is a carefully planned model, co-designed with young people, and includes input from experts, schools, and members of parliament themselves. It is also supported by a careful approach to evaluation, that includes independent academic evaluation </w:t>
      </w:r>
      <w:proofErr w:type="gramStart"/>
      <w:r w:rsidRPr="006F3A5D">
        <w:rPr>
          <w:rFonts w:ascii="Times New Roman" w:hAnsi="Times New Roman" w:cs="Times New Roman"/>
        </w:rPr>
        <w:t>and  360</w:t>
      </w:r>
      <w:proofErr w:type="gramEnd"/>
      <w:r w:rsidRPr="006F3A5D">
        <w:rPr>
          <w:rFonts w:ascii="Times New Roman" w:hAnsi="Times New Roman" w:cs="Times New Roman"/>
        </w:rPr>
        <w:t xml:space="preserve"> degree feedback from the full range of actors involved.</w:t>
      </w:r>
    </w:p>
    <w:p w14:paraId="1DE7BEEC"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WYP consists of 60 members, aged 11 to 18.  Eighty per cent of WYP Members are elected by their peers in online elections and 20% are appointed by partner organisations that represent various groups and </w:t>
      </w:r>
      <w:r w:rsidRPr="006F3A5D">
        <w:rPr>
          <w:rFonts w:ascii="Times New Roman" w:hAnsi="Times New Roman" w:cs="Times New Roman"/>
        </w:rPr>
        <w:lastRenderedPageBreak/>
        <w:t>interests of young people in Wales. The appointed WYP Members are encouraged to work closely with the partner organisations to ensure they reflect the views and perspectives of young people from relevant communities, including persons with disabilities, or ethnic minorities.</w:t>
      </w:r>
    </w:p>
    <w:p w14:paraId="5E942C6A"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The election cycles for the WYP Members are designed to coincide with broader education campaigns about democratic engagement for young people, including those orientated around enrolling to vote.  WYP elections are also accompanied by a Wales-wide survey of key youth priorities, and are supported by schools-based programs, youth engagement and outreach programs also facilitated by the Senedd.</w:t>
      </w:r>
    </w:p>
    <w:p w14:paraId="7578BFB0"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WYP members meet three times during their two-year term at the Senedd building in Cardiff Bay, where they debate and vote on issues that matter to them and their constituents. They also hold regional meetings and events to engage with other young people and stakeholders across Wales. </w:t>
      </w:r>
    </w:p>
    <w:p w14:paraId="345EB355"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When meeting in the Senedd building, the WYP sits in the Main Chamber, with the President of the Senedd presiding over procedural rules that have been agreed to by the WYP and generally mirror that of the Senedd.  During these sessions, Youth MPs have access to other members of parliament, senior clerks, and parliamentary researchers, as well as data collected by the Welsh Parliament about matters of interest or priority for young people in Wales. The WYP also often works closely with the Children’s Commissioner and Future Generations Commissioner, who can also support WYP policy priorities and assist in the provision of relevant research or data.  However, the WYP does not have access to the same powers and privileges as the Senedd, for example, its proceedings are not protected by parliamentary </w:t>
      </w:r>
      <w:proofErr w:type="gramStart"/>
      <w:r w:rsidRPr="006F3A5D">
        <w:rPr>
          <w:rFonts w:ascii="Times New Roman" w:hAnsi="Times New Roman" w:cs="Times New Roman"/>
        </w:rPr>
        <w:t>privilege</w:t>
      </w:r>
      <w:proofErr w:type="gramEnd"/>
      <w:r w:rsidRPr="006F3A5D">
        <w:rPr>
          <w:rFonts w:ascii="Times New Roman" w:hAnsi="Times New Roman" w:cs="Times New Roman"/>
        </w:rPr>
        <w:t xml:space="preserve"> and it does not have powers to compel government Ministers or public servants to appear before it to provide evidence.  It can, however, make use of the Senedd’s broad cast services, publish reports, prepare media releases and other official statements, produce online content, and host events.</w:t>
      </w:r>
    </w:p>
    <w:p w14:paraId="3012890A"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The WYP regularly contributes to policy development in areas such as education, mental health, environment, and children’s rights, and supports local social action in line with WYP Member’s key priorities for change. Increasingly, government departments and other bodies seek to engage WYP Members for focus groups, or to assist in the co-design of policies, or to serve on panels for recruitment of senior public servants or statutory office holders.  There has also been positive engagement between the Welsh Parliament’s Finance Committee and the Youth Parliament, that included the establishment of a focus group that helped inform the oversight and budgeting work of the Finance Committee, but also enabled the Youth Parliament to gain insights into the balancing required when distributing funding to different priorities.</w:t>
      </w:r>
    </w:p>
    <w:p w14:paraId="52201135" w14:textId="77777777" w:rsidR="00A46CEC" w:rsidRPr="006F3A5D" w:rsidRDefault="00A46CEC" w:rsidP="002376DE">
      <w:pPr>
        <w:pStyle w:val="Heading3"/>
      </w:pPr>
      <w:r w:rsidRPr="006F3A5D">
        <w:t xml:space="preserve">Devolved approaches to outreach that link elected members to the advocacy prioritise of local </w:t>
      </w:r>
      <w:proofErr w:type="gramStart"/>
      <w:r w:rsidRPr="006F3A5D">
        <w:t>constituencies</w:t>
      </w:r>
      <w:proofErr w:type="gramEnd"/>
    </w:p>
    <w:p w14:paraId="33411085"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UK Parliament Week is an annual series of events that take place across the UK each November that aim to inspire interest in parliament, politics and democracy and encourage young people and the public to engage with the UK’s democratic system and institutions. In 2023, UK Parliament Week coincided with the State Opening of Parliament, and saw more than 11,000 events take place across the country, as well as in the Crown Dependencies and the British Overseas Territories. </w:t>
      </w:r>
    </w:p>
    <w:p w14:paraId="6223983B"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UK Parliament Week aims to connect local communities with their elected representatives and encourages local events or workshops that spread awareness about the practices and processes of parliament and encourage civic participation. Interested individuals, community organisations, teachers or MPs can request a free UK Parliament Week resource kit, which is tailored to different audiences and available in different languages.  The 2023 kits included a Parliamentary-themed board game, </w:t>
      </w:r>
      <w:r w:rsidRPr="006F3A5D">
        <w:rPr>
          <w:rFonts w:ascii="Times New Roman" w:hAnsi="Times New Roman" w:cs="Times New Roman"/>
          <w:i/>
          <w:iCs/>
        </w:rPr>
        <w:t>The Ayes Have It</w:t>
      </w:r>
      <w:r w:rsidRPr="006F3A5D">
        <w:rPr>
          <w:rFonts w:ascii="Times New Roman" w:hAnsi="Times New Roman" w:cs="Times New Roman"/>
        </w:rPr>
        <w:t>, that encourages students to learn more about decision making in parliament.</w:t>
      </w:r>
    </w:p>
    <w:p w14:paraId="0A93E814"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first UK Parliament Week in 2011 was centred around encouraging the public to visit Westminster and learn about parliamentary processes through tours and formal events.  However, over time it has evolved to be focused on local experiences, with community led activities and events that are supported by specialist parliamentary staff who have integrated UK Parliament Week into broader, more holistic public engagement and education strategies.  Careful planning has been put into ensuring that UK Parliament Week is </w:t>
      </w:r>
      <w:r w:rsidRPr="006F3A5D">
        <w:rPr>
          <w:rFonts w:ascii="Times New Roman" w:hAnsi="Times New Roman" w:cs="Times New Roman"/>
        </w:rPr>
        <w:lastRenderedPageBreak/>
        <w:t xml:space="preserve">accessible and engaging for hard to reach or ‘seldom heard’ communities, with parliamentary staff and elected MPs building and supporting local networks and local champions to assist in co-designing activities and resources.  Since 2017, the digital aspects of UK Parliament have also become increasingly important, with attention given to safe data collection from participants, as well as effective media engagement and promotion across a range of online platforms.  This has in turn enabled high quality feedback to be received and supported the integration of UK Parliament Week into engagement activities including the online petitions system, teacher training programs and school visits.  </w:t>
      </w:r>
    </w:p>
    <w:p w14:paraId="673AF62B" w14:textId="77777777" w:rsidR="00A46CEC" w:rsidRPr="006F3A5D" w:rsidRDefault="00A46CEC" w:rsidP="002376DE">
      <w:pPr>
        <w:pStyle w:val="Heading3"/>
      </w:pPr>
      <w:r w:rsidRPr="006F3A5D">
        <w:t>Embedding participation and engagement expertise in each parliamentary committee</w:t>
      </w:r>
    </w:p>
    <w:p w14:paraId="5C02C495" w14:textId="77777777"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In the Scottish Parliament each parliamentary committee has a member of the Participation Team as part of their secretariat.  The Participation Team member will meet with the Clerk supporting the Committee and the Convenor of the Committee to learn about what the Committee needs to get out of the inquiry and to provide engagement advice and support.  The Committee will then produce an Approach Paper for each inquiry that will include a framework for any research, plans for public inquiries or submission process and </w:t>
      </w:r>
      <w:proofErr w:type="gramStart"/>
      <w:r w:rsidRPr="006F3A5D">
        <w:rPr>
          <w:rFonts w:ascii="Times New Roman" w:hAnsi="Times New Roman" w:cs="Times New Roman"/>
        </w:rPr>
        <w:t>time lines</w:t>
      </w:r>
      <w:proofErr w:type="gramEnd"/>
      <w:r w:rsidRPr="006F3A5D">
        <w:rPr>
          <w:rFonts w:ascii="Times New Roman" w:hAnsi="Times New Roman" w:cs="Times New Roman"/>
        </w:rPr>
        <w:t xml:space="preserve">, as well as engagement strategies.  </w:t>
      </w:r>
    </w:p>
    <w:p w14:paraId="713C76B8" w14:textId="77777777"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Demographic data commissioned by the research teams can reveal the need for careful, expert, localised and partnered engagement strategies.  In these cases, the Participation Team member will consult with their established network of partners to help develop the most effective and efficient public engagement strategy for the </w:t>
      </w:r>
      <w:proofErr w:type="gramStart"/>
      <w:r w:rsidRPr="006F3A5D">
        <w:rPr>
          <w:rFonts w:ascii="Times New Roman" w:hAnsi="Times New Roman" w:cs="Times New Roman"/>
        </w:rPr>
        <w:t>particular committee</w:t>
      </w:r>
      <w:proofErr w:type="gramEnd"/>
      <w:r w:rsidRPr="006F3A5D">
        <w:rPr>
          <w:rFonts w:ascii="Times New Roman" w:hAnsi="Times New Roman" w:cs="Times New Roman"/>
        </w:rPr>
        <w:t xml:space="preserve"> inquiry.  Sometimes this will involve working with partner hosts.  </w:t>
      </w:r>
    </w:p>
    <w:p w14:paraId="37A374F1" w14:textId="77777777"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One example of this approach is the work of Equal Opportunities Committee in its 2001 </w:t>
      </w:r>
      <w:r w:rsidRPr="006F3A5D">
        <w:rPr>
          <w:rFonts w:ascii="Times New Roman" w:hAnsi="Times New Roman" w:cs="Times New Roman"/>
          <w:i/>
          <w:iCs/>
        </w:rPr>
        <w:t>Inquiry into Gypsy Travellers and Public Sector Policies</w:t>
      </w:r>
      <w:r w:rsidRPr="006F3A5D">
        <w:rPr>
          <w:rFonts w:ascii="Times New Roman" w:hAnsi="Times New Roman" w:cs="Times New Roman"/>
        </w:rPr>
        <w:t xml:space="preserve"> where the voice of lived experience was given central place because the Committee wanted to better understand the perspectives of </w:t>
      </w:r>
      <w:proofErr w:type="spellStart"/>
      <w:r w:rsidRPr="006F3A5D">
        <w:rPr>
          <w:rFonts w:ascii="Times New Roman" w:hAnsi="Times New Roman" w:cs="Times New Roman"/>
        </w:rPr>
        <w:t>Gypsie</w:t>
      </w:r>
      <w:proofErr w:type="spellEnd"/>
      <w:r w:rsidRPr="006F3A5D">
        <w:rPr>
          <w:rFonts w:ascii="Times New Roman" w:hAnsi="Times New Roman" w:cs="Times New Roman"/>
        </w:rPr>
        <w:t xml:space="preserve"> Traveller communities </w:t>
      </w:r>
      <w:proofErr w:type="gramStart"/>
      <w:r w:rsidRPr="006F3A5D">
        <w:rPr>
          <w:rFonts w:ascii="Times New Roman" w:hAnsi="Times New Roman" w:cs="Times New Roman"/>
        </w:rPr>
        <w:t>in order to</w:t>
      </w:r>
      <w:proofErr w:type="gramEnd"/>
      <w:r w:rsidRPr="006F3A5D">
        <w:rPr>
          <w:rFonts w:ascii="Times New Roman" w:hAnsi="Times New Roman" w:cs="Times New Roman"/>
        </w:rPr>
        <w:t xml:space="preserve"> understand their housing and social security needs. Connecting with these communities necessitated reliance on skills of Participation Team as well as on established partnerships.  Through this carefully planned engagement approach, Members of the Equality Committee developed important trusted relationships with Gypsy Travellers by visiting them where they were</w:t>
      </w:r>
      <w:r w:rsidRPr="006F3A5D">
        <w:rPr>
          <w:rFonts w:ascii="Times New Roman" w:hAnsi="Times New Roman" w:cs="Times New Roman"/>
          <w:i/>
          <w:iCs/>
        </w:rPr>
        <w:t xml:space="preserve"> </w:t>
      </w:r>
      <w:r w:rsidRPr="006F3A5D">
        <w:rPr>
          <w:rFonts w:ascii="Times New Roman" w:hAnsi="Times New Roman" w:cs="Times New Roman"/>
        </w:rPr>
        <w:t xml:space="preserve">and have since become unofficial ambassadors of this approach.  </w:t>
      </w:r>
    </w:p>
    <w:p w14:paraId="14CA2462" w14:textId="77777777"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Once Members appreciate the value of using qualitative research methods or lived experience focus groups to accurately assessing the on the ground impact of budgetary decisions, or to help work out if past Budget decisions have </w:t>
      </w:r>
      <w:proofErr w:type="gramStart"/>
      <w:r w:rsidRPr="006F3A5D">
        <w:rPr>
          <w:rFonts w:ascii="Times New Roman" w:hAnsi="Times New Roman" w:cs="Times New Roman"/>
        </w:rPr>
        <w:t>actually delivered</w:t>
      </w:r>
      <w:proofErr w:type="gramEnd"/>
      <w:r w:rsidRPr="006F3A5D">
        <w:rPr>
          <w:rFonts w:ascii="Times New Roman" w:hAnsi="Times New Roman" w:cs="Times New Roman"/>
        </w:rPr>
        <w:t xml:space="preserve"> the outcomes they had in mind</w:t>
      </w:r>
      <w:r w:rsidRPr="006F3A5D">
        <w:rPr>
          <w:rFonts w:ascii="Times New Roman" w:hAnsi="Times New Roman" w:cs="Times New Roman"/>
          <w:i/>
          <w:iCs/>
        </w:rPr>
        <w:t xml:space="preserve">, </w:t>
      </w:r>
      <w:r w:rsidRPr="006F3A5D">
        <w:rPr>
          <w:rFonts w:ascii="Times New Roman" w:hAnsi="Times New Roman" w:cs="Times New Roman"/>
        </w:rPr>
        <w:t xml:space="preserve">they often embrace these techniques in a range of thematic areas.  This means the goal should not be to </w:t>
      </w:r>
      <w:r w:rsidRPr="006F3A5D">
        <w:rPr>
          <w:rFonts w:ascii="Times New Roman" w:hAnsi="Times New Roman" w:cs="Times New Roman"/>
          <w:i/>
          <w:iCs/>
        </w:rPr>
        <w:t xml:space="preserve">engage everyone </w:t>
      </w:r>
      <w:r w:rsidRPr="006F3A5D">
        <w:rPr>
          <w:rFonts w:ascii="Times New Roman" w:hAnsi="Times New Roman" w:cs="Times New Roman"/>
        </w:rPr>
        <w:t xml:space="preserve">but rather to providing pathways for people to understand the relevance of the work of parliament in their lives and to </w:t>
      </w:r>
      <w:r w:rsidRPr="006F3A5D">
        <w:rPr>
          <w:rFonts w:ascii="Times New Roman" w:hAnsi="Times New Roman" w:cs="Times New Roman"/>
          <w:i/>
          <w:iCs/>
        </w:rPr>
        <w:t>sometimes</w:t>
      </w:r>
      <w:r w:rsidRPr="006F3A5D">
        <w:rPr>
          <w:rFonts w:ascii="Times New Roman" w:hAnsi="Times New Roman" w:cs="Times New Roman"/>
        </w:rPr>
        <w:t xml:space="preserve"> participate when the decisions or laws parliament is considering impact their lives the most.  </w:t>
      </w:r>
    </w:p>
    <w:p w14:paraId="29E28D7C"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Building and sustaining multidisciplinary and high skilled Participation Teams means that these officers can do the ‘warm up work’ with </w:t>
      </w:r>
      <w:proofErr w:type="gramStart"/>
      <w:r w:rsidRPr="006F3A5D">
        <w:rPr>
          <w:rFonts w:ascii="Times New Roman" w:hAnsi="Times New Roman" w:cs="Times New Roman"/>
        </w:rPr>
        <w:t>hard to reach</w:t>
      </w:r>
      <w:proofErr w:type="gramEnd"/>
      <w:r w:rsidRPr="006F3A5D">
        <w:rPr>
          <w:rFonts w:ascii="Times New Roman" w:hAnsi="Times New Roman" w:cs="Times New Roman"/>
        </w:rPr>
        <w:t xml:space="preserve"> groups that they know committees want to hear from, including young people.  These teams can smooth the way for more diverse witnesses in parliamentary committee inquiries, for example, by providing wrap around care and support for witnesses, including providing spaces for preparation and de brief as well as options for giving evidence.  Often this involves working with a partnered intermediary.  </w:t>
      </w:r>
    </w:p>
    <w:p w14:paraId="735A8544" w14:textId="03C0C9C3"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The Scottish Parliament has also adopted evidence-based approaches to website design and is now using a ‘Your Priorities’ online consultation tool in many </w:t>
      </w:r>
      <w:r w:rsidR="006F18FF" w:rsidRPr="006F3A5D">
        <w:rPr>
          <w:rFonts w:ascii="Times New Roman" w:hAnsi="Times New Roman" w:cs="Times New Roman"/>
        </w:rPr>
        <w:t>committees’</w:t>
      </w:r>
      <w:r w:rsidRPr="006F3A5D">
        <w:rPr>
          <w:rFonts w:ascii="Times New Roman" w:hAnsi="Times New Roman" w:cs="Times New Roman"/>
        </w:rPr>
        <w:t xml:space="preserve"> inquiries, that provides participants with the potential to brainstorm solutions and ideas in response to </w:t>
      </w:r>
      <w:proofErr w:type="gramStart"/>
      <w:r w:rsidRPr="006F3A5D">
        <w:rPr>
          <w:rFonts w:ascii="Times New Roman" w:hAnsi="Times New Roman" w:cs="Times New Roman"/>
        </w:rPr>
        <w:t>particular issues</w:t>
      </w:r>
      <w:proofErr w:type="gramEnd"/>
      <w:r w:rsidRPr="006F3A5D">
        <w:rPr>
          <w:rFonts w:ascii="Times New Roman" w:hAnsi="Times New Roman" w:cs="Times New Roman"/>
        </w:rPr>
        <w:t>, proposals or concerns and encourages engagement beyond the passive survey style response.</w:t>
      </w:r>
    </w:p>
    <w:p w14:paraId="72B77CE2"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Scottish Parliament’s Participation Team is also actively involved in broader discussions about democratic participation.  For example, the </w:t>
      </w:r>
      <w:r w:rsidRPr="006F3A5D">
        <w:rPr>
          <w:rFonts w:ascii="Times New Roman" w:hAnsi="Times New Roman" w:cs="Times New Roman"/>
          <w:i/>
          <w:iCs/>
        </w:rPr>
        <w:t>Community Empowerment (Scotland) Act 2015</w:t>
      </w:r>
      <w:r w:rsidRPr="006F3A5D">
        <w:rPr>
          <w:rFonts w:ascii="Times New Roman" w:hAnsi="Times New Roman" w:cs="Times New Roman"/>
        </w:rPr>
        <w:t xml:space="preserve"> has been used to establish pathways and processes for youth and other community groups to assert control of public spaces and field spaces. </w:t>
      </w:r>
    </w:p>
    <w:p w14:paraId="043EDB9F" w14:textId="77777777" w:rsidR="00A46CEC" w:rsidRPr="006F3A5D" w:rsidRDefault="00A46CEC" w:rsidP="002376DE">
      <w:pPr>
        <w:pStyle w:val="Heading3"/>
      </w:pPr>
      <w:r w:rsidRPr="006F3A5D">
        <w:lastRenderedPageBreak/>
        <w:t xml:space="preserve">Creating deliberative spaces for reconciliation and shared prioritise for future policy </w:t>
      </w:r>
      <w:proofErr w:type="gramStart"/>
      <w:r w:rsidRPr="006F3A5D">
        <w:t>development</w:t>
      </w:r>
      <w:proofErr w:type="gramEnd"/>
    </w:p>
    <w:p w14:paraId="7A7C1D6D"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Shared Ireland unit is a part of the Department of the Taoiseach that coordinates and drives the government’s Shared Island initiative. The initiative aims to enhance cooperation, </w:t>
      </w:r>
      <w:proofErr w:type="gramStart"/>
      <w:r w:rsidRPr="006F3A5D">
        <w:rPr>
          <w:rFonts w:ascii="Times New Roman" w:hAnsi="Times New Roman" w:cs="Times New Roman"/>
        </w:rPr>
        <w:t>connection</w:t>
      </w:r>
      <w:proofErr w:type="gramEnd"/>
      <w:r w:rsidRPr="006F3A5D">
        <w:rPr>
          <w:rFonts w:ascii="Times New Roman" w:hAnsi="Times New Roman" w:cs="Times New Roman"/>
        </w:rPr>
        <w:t xml:space="preserve"> and mutual understanding on the island of Ireland, and engage with all communities and traditions to build consensus around a shared future. The Shared Ireland initiative is based on the spirit and intent of the Good Friday Agreement, which is the foundation of peace and reconciliation on the island.</w:t>
      </w:r>
    </w:p>
    <w:p w14:paraId="0681E76C" w14:textId="77777777" w:rsidR="00A46CEC" w:rsidRPr="006F3A5D" w:rsidRDefault="00A46CEC" w:rsidP="002D0CB1">
      <w:pPr>
        <w:pStyle w:val="ListParagraph"/>
        <w:spacing w:after="120"/>
        <w:ind w:left="0"/>
        <w:contextualSpacing w:val="0"/>
        <w:jc w:val="both"/>
        <w:rPr>
          <w:rFonts w:ascii="Times New Roman" w:hAnsi="Times New Roman" w:cs="Times New Roman"/>
        </w:rPr>
      </w:pPr>
      <w:r w:rsidRPr="006F3A5D">
        <w:rPr>
          <w:rFonts w:ascii="Times New Roman" w:hAnsi="Times New Roman" w:cs="Times New Roman"/>
        </w:rPr>
        <w:t xml:space="preserve">One of the key activities of the Shared Ireland initiative has been the establishment of the Shared Island Youth Forum, which has hosted virtual event engaging over 400 young people from across the island on their vision and aspirations for a shared island.  This Youth Forum is designed to bring young people and Members of Parliament together from the North and South of </w:t>
      </w:r>
      <w:proofErr w:type="gramStart"/>
      <w:r w:rsidRPr="006F3A5D">
        <w:rPr>
          <w:rFonts w:ascii="Times New Roman" w:hAnsi="Times New Roman" w:cs="Times New Roman"/>
        </w:rPr>
        <w:t>Ireland, and</w:t>
      </w:r>
      <w:proofErr w:type="gramEnd"/>
      <w:r w:rsidRPr="006F3A5D">
        <w:rPr>
          <w:rFonts w:ascii="Times New Roman" w:hAnsi="Times New Roman" w:cs="Times New Roman"/>
        </w:rPr>
        <w:t xml:space="preserve"> is supported by twinning arrangements for schools.  Through this Forum – and related engagement efforts by the Department of the Taoiseach – there has been a notable increase in the young people who have appeared before committees to give evidence, and a growing political awareness of the primacy of engagement with young people. </w:t>
      </w:r>
    </w:p>
    <w:p w14:paraId="4097C16C"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Some of the other activities and achievements of the Shared Ireland unit include:</w:t>
      </w:r>
    </w:p>
    <w:p w14:paraId="18E42600" w14:textId="77777777" w:rsidR="00A46CEC" w:rsidRPr="006F3A5D" w:rsidRDefault="00A46CEC" w:rsidP="002D0CB1">
      <w:pPr>
        <w:pStyle w:val="ListParagraph"/>
        <w:numPr>
          <w:ilvl w:val="0"/>
          <w:numId w:val="16"/>
        </w:numPr>
        <w:spacing w:after="120"/>
        <w:ind w:left="567" w:hanging="283"/>
        <w:contextualSpacing w:val="0"/>
        <w:jc w:val="both"/>
        <w:rPr>
          <w:rFonts w:ascii="Times New Roman" w:hAnsi="Times New Roman" w:cs="Times New Roman"/>
        </w:rPr>
      </w:pPr>
      <w:r w:rsidRPr="006F3A5D">
        <w:rPr>
          <w:rFonts w:ascii="Times New Roman" w:hAnsi="Times New Roman" w:cs="Times New Roman"/>
        </w:rPr>
        <w:t xml:space="preserve">Establishing the Shared Island Fund, which provides €500m in capital funding between 2021-25 for collaborative North/South projects in areas such as health, education, infrastructure, </w:t>
      </w:r>
      <w:proofErr w:type="gramStart"/>
      <w:r w:rsidRPr="006F3A5D">
        <w:rPr>
          <w:rFonts w:ascii="Times New Roman" w:hAnsi="Times New Roman" w:cs="Times New Roman"/>
        </w:rPr>
        <w:t>environment</w:t>
      </w:r>
      <w:proofErr w:type="gramEnd"/>
      <w:r w:rsidRPr="006F3A5D">
        <w:rPr>
          <w:rFonts w:ascii="Times New Roman" w:hAnsi="Times New Roman" w:cs="Times New Roman"/>
        </w:rPr>
        <w:t xml:space="preserve"> and research.</w:t>
      </w:r>
    </w:p>
    <w:p w14:paraId="039298B5" w14:textId="77777777" w:rsidR="00A46CEC" w:rsidRPr="006F3A5D" w:rsidRDefault="00A46CEC" w:rsidP="002D0CB1">
      <w:pPr>
        <w:pStyle w:val="ListParagraph"/>
        <w:numPr>
          <w:ilvl w:val="0"/>
          <w:numId w:val="16"/>
        </w:numPr>
        <w:spacing w:after="120"/>
        <w:ind w:left="567" w:hanging="283"/>
        <w:contextualSpacing w:val="0"/>
        <w:jc w:val="both"/>
        <w:rPr>
          <w:rFonts w:ascii="Times New Roman" w:hAnsi="Times New Roman" w:cs="Times New Roman"/>
        </w:rPr>
      </w:pPr>
      <w:r w:rsidRPr="006F3A5D">
        <w:rPr>
          <w:rFonts w:ascii="Times New Roman" w:hAnsi="Times New Roman" w:cs="Times New Roman"/>
        </w:rPr>
        <w:t xml:space="preserve">Organising the Shared Island Dialogues, which are a series of online events that bring together diverse perspectives and voices to discuss key issues and opportunities for a shared island, such as climate action, civil society, </w:t>
      </w:r>
      <w:proofErr w:type="gramStart"/>
      <w:r w:rsidRPr="006F3A5D">
        <w:rPr>
          <w:rFonts w:ascii="Times New Roman" w:hAnsi="Times New Roman" w:cs="Times New Roman"/>
        </w:rPr>
        <w:t>education</w:t>
      </w:r>
      <w:proofErr w:type="gramEnd"/>
      <w:r w:rsidRPr="006F3A5D">
        <w:rPr>
          <w:rFonts w:ascii="Times New Roman" w:hAnsi="Times New Roman" w:cs="Times New Roman"/>
        </w:rPr>
        <w:t xml:space="preserve"> and culture.</w:t>
      </w:r>
    </w:p>
    <w:p w14:paraId="29F90EE7" w14:textId="77777777" w:rsidR="00A46CEC" w:rsidRPr="006F3A5D" w:rsidRDefault="00A46CEC" w:rsidP="002D0CB1">
      <w:pPr>
        <w:pStyle w:val="ListParagraph"/>
        <w:numPr>
          <w:ilvl w:val="0"/>
          <w:numId w:val="16"/>
        </w:numPr>
        <w:spacing w:after="120"/>
        <w:ind w:left="567" w:hanging="283"/>
        <w:contextualSpacing w:val="0"/>
        <w:jc w:val="both"/>
        <w:rPr>
          <w:rFonts w:ascii="Times New Roman" w:hAnsi="Times New Roman" w:cs="Times New Roman"/>
        </w:rPr>
      </w:pPr>
      <w:r w:rsidRPr="006F3A5D">
        <w:rPr>
          <w:rFonts w:ascii="Times New Roman" w:hAnsi="Times New Roman" w:cs="Times New Roman"/>
        </w:rPr>
        <w:t>Commissioning and publishing Shared Island Research, which is a comprehensive programme of research to support the building of consensus around a shared future on the island, and to inform policy development and public debate. The research is conducted in partnership with the National Economic and Social Council, the Economic and Social Research Institute, the Irish Research Council, and other partners.</w:t>
      </w:r>
    </w:p>
    <w:p w14:paraId="52BD81C5" w14:textId="77777777" w:rsidR="00A46CEC" w:rsidRPr="006F3A5D" w:rsidRDefault="00A46CEC" w:rsidP="002D0CB1">
      <w:pPr>
        <w:pStyle w:val="ListParagraph"/>
        <w:numPr>
          <w:ilvl w:val="0"/>
          <w:numId w:val="16"/>
        </w:numPr>
        <w:spacing w:after="120"/>
        <w:ind w:left="567" w:hanging="283"/>
        <w:contextualSpacing w:val="0"/>
        <w:jc w:val="both"/>
        <w:rPr>
          <w:rFonts w:ascii="Times New Roman" w:hAnsi="Times New Roman" w:cs="Times New Roman"/>
        </w:rPr>
      </w:pPr>
      <w:r w:rsidRPr="006F3A5D">
        <w:rPr>
          <w:rFonts w:ascii="Times New Roman" w:hAnsi="Times New Roman" w:cs="Times New Roman"/>
        </w:rPr>
        <w:t>Convening roundtable sessions with women’s representatives and ethnic minority communities on the island, to hear their interests and priorities for a shared island, and to ensure the inclusion of often under-represented voices in the peace process.</w:t>
      </w:r>
    </w:p>
    <w:p w14:paraId="4B2831D7" w14:textId="77777777" w:rsidR="00A46CEC" w:rsidRPr="006F3A5D" w:rsidRDefault="00A46CEC" w:rsidP="002D0CB1">
      <w:pPr>
        <w:pStyle w:val="ListParagraph"/>
        <w:numPr>
          <w:ilvl w:val="0"/>
          <w:numId w:val="16"/>
        </w:numPr>
        <w:spacing w:after="120"/>
        <w:ind w:left="567" w:hanging="283"/>
        <w:contextualSpacing w:val="0"/>
        <w:jc w:val="both"/>
        <w:rPr>
          <w:rFonts w:ascii="Times New Roman" w:hAnsi="Times New Roman" w:cs="Times New Roman"/>
        </w:rPr>
      </w:pPr>
      <w:r w:rsidRPr="006F3A5D">
        <w:rPr>
          <w:rFonts w:ascii="Times New Roman" w:hAnsi="Times New Roman" w:cs="Times New Roman"/>
        </w:rPr>
        <w:t>Hosting the Shared Island Forum, which was a high-level event that brought together political leaders, academics, civil society representatives and other stakeholders from across the island and beyond, to discuss the challenges and opportunities for a shared island in the context of Brexit, Covid-</w:t>
      </w:r>
      <w:proofErr w:type="gramStart"/>
      <w:r w:rsidRPr="006F3A5D">
        <w:rPr>
          <w:rFonts w:ascii="Times New Roman" w:hAnsi="Times New Roman" w:cs="Times New Roman"/>
        </w:rPr>
        <w:t>19</w:t>
      </w:r>
      <w:proofErr w:type="gramEnd"/>
      <w:r w:rsidRPr="006F3A5D">
        <w:rPr>
          <w:rFonts w:ascii="Times New Roman" w:hAnsi="Times New Roman" w:cs="Times New Roman"/>
        </w:rPr>
        <w:t xml:space="preserve"> and global issues.</w:t>
      </w:r>
    </w:p>
    <w:p w14:paraId="600CE5B0" w14:textId="77777777" w:rsidR="00A46CEC" w:rsidRPr="006F3A5D" w:rsidRDefault="00A46CEC" w:rsidP="002376DE">
      <w:pPr>
        <w:pStyle w:val="Heading3"/>
      </w:pPr>
      <w:r w:rsidRPr="006F3A5D">
        <w:t>Embracing citizen’s juries as a supplement to parliamentary committee work</w:t>
      </w:r>
    </w:p>
    <w:p w14:paraId="69D46FF2"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The Scottish Parliament has a dedicated Citizen Participation and Public Petitions Committee focused on exploring ways to engage the public in the business of parliament. The Committee considers all public petitions submitted to the parliament and determines if they meet the requisite thresholds to prompt the holding of a public inquiry or requiring a response from government.  The Committee also undertakes other forms of public engagement, such as organising community dialogues and forums.  In recent years, the Committee has also facilitated the formation of citizen’s juries to consider and report on policy issues of relevance to the Scottish Parliament.</w:t>
      </w:r>
    </w:p>
    <w:p w14:paraId="15D77D0B" w14:textId="77777777" w:rsidR="00A46CEC" w:rsidRPr="006F3A5D" w:rsidRDefault="00A46CEC" w:rsidP="002D0CB1">
      <w:pPr>
        <w:spacing w:after="120" w:line="240" w:lineRule="auto"/>
        <w:jc w:val="both"/>
        <w:rPr>
          <w:rFonts w:ascii="Times New Roman" w:hAnsi="Times New Roman" w:cs="Times New Roman"/>
          <w:color w:val="000000"/>
        </w:rPr>
      </w:pPr>
      <w:r w:rsidRPr="006F3A5D">
        <w:rPr>
          <w:rFonts w:ascii="Times New Roman" w:hAnsi="Times New Roman" w:cs="Times New Roman"/>
        </w:rPr>
        <w:t xml:space="preserve">The committee consists of seven members from different political </w:t>
      </w:r>
      <w:proofErr w:type="gramStart"/>
      <w:r w:rsidRPr="006F3A5D">
        <w:rPr>
          <w:rFonts w:ascii="Times New Roman" w:hAnsi="Times New Roman" w:cs="Times New Roman"/>
        </w:rPr>
        <w:t>parties, and</w:t>
      </w:r>
      <w:proofErr w:type="gramEnd"/>
      <w:r w:rsidRPr="006F3A5D">
        <w:rPr>
          <w:rFonts w:ascii="Times New Roman" w:hAnsi="Times New Roman" w:cs="Times New Roman"/>
        </w:rPr>
        <w:t xml:space="preserve"> is currently chaired by Johann Lamont MSP</w:t>
      </w:r>
      <w:r w:rsidRPr="006F3A5D">
        <w:rPr>
          <w:rFonts w:ascii="Times New Roman" w:hAnsi="Times New Roman" w:cs="Times New Roman"/>
          <w:color w:val="000000"/>
        </w:rPr>
        <w:t xml:space="preserve">. </w:t>
      </w:r>
      <w:r w:rsidRPr="006F3A5D">
        <w:rPr>
          <w:rFonts w:ascii="Times New Roman" w:hAnsi="Times New Roman" w:cs="Times New Roman"/>
        </w:rPr>
        <w:t>The committee meets regularly and publishes its agendas, papers, minutes, and reports on its website</w:t>
      </w:r>
      <w:r w:rsidRPr="006F3A5D">
        <w:rPr>
          <w:rFonts w:ascii="Times New Roman" w:hAnsi="Times New Roman" w:cs="Times New Roman"/>
          <w:color w:val="000000"/>
        </w:rPr>
        <w:t xml:space="preserve">. </w:t>
      </w:r>
      <w:r w:rsidRPr="006F3A5D">
        <w:rPr>
          <w:rFonts w:ascii="Times New Roman" w:hAnsi="Times New Roman" w:cs="Times New Roman"/>
        </w:rPr>
        <w:t>The committee also broadcasts its meetings live and on demand on Scottish Parliament TV</w:t>
      </w:r>
      <w:r w:rsidRPr="006F3A5D">
        <w:rPr>
          <w:rFonts w:ascii="Times New Roman" w:hAnsi="Times New Roman" w:cs="Times New Roman"/>
          <w:color w:val="000000"/>
        </w:rPr>
        <w:t>.</w:t>
      </w:r>
    </w:p>
    <w:p w14:paraId="06E4D894" w14:textId="77777777" w:rsidR="00A46CEC" w:rsidRPr="006F3A5D" w:rsidRDefault="00A46CEC" w:rsidP="002D0CB1">
      <w:pPr>
        <w:pStyle w:val="NormalWeb"/>
        <w:spacing w:before="0" w:beforeAutospacing="0" w:after="120" w:afterAutospacing="0"/>
        <w:jc w:val="both"/>
        <w:rPr>
          <w:color w:val="000000"/>
        </w:rPr>
      </w:pPr>
      <w:r w:rsidRPr="006F3A5D">
        <w:rPr>
          <w:color w:val="000000"/>
        </w:rPr>
        <w:lastRenderedPageBreak/>
        <w:t>The committee is currently working on several topics, such as:</w:t>
      </w:r>
    </w:p>
    <w:p w14:paraId="1455677B" w14:textId="77777777" w:rsidR="00A46CEC" w:rsidRPr="006F3A5D" w:rsidRDefault="00A46CEC" w:rsidP="002D0CB1">
      <w:pPr>
        <w:pStyle w:val="ListParagraph"/>
        <w:numPr>
          <w:ilvl w:val="0"/>
          <w:numId w:val="15"/>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Budget scrutiny 2024-25, which involves examining the Scottish Government’s spending plans and priorities for the next financial year.</w:t>
      </w:r>
    </w:p>
    <w:p w14:paraId="2B6F98A0" w14:textId="77777777" w:rsidR="00A46CEC" w:rsidRPr="006F3A5D" w:rsidRDefault="00A46CEC" w:rsidP="002D0CB1">
      <w:pPr>
        <w:pStyle w:val="ListParagraph"/>
        <w:numPr>
          <w:ilvl w:val="0"/>
          <w:numId w:val="15"/>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Inquiry into A9 Dualling Project, which involves investigating the environmental, social, and economic impacts of the major road project that aims to upgrade the A9 between Perth and Inverness.</w:t>
      </w:r>
    </w:p>
    <w:p w14:paraId="733EFBC7" w14:textId="77777777" w:rsidR="00A46CEC" w:rsidRPr="001560F2" w:rsidRDefault="00A46CEC" w:rsidP="001560F2">
      <w:pPr>
        <w:pStyle w:val="ListParagraph"/>
        <w:numPr>
          <w:ilvl w:val="0"/>
          <w:numId w:val="15"/>
        </w:numPr>
        <w:spacing w:after="120"/>
        <w:ind w:left="714" w:hanging="357"/>
        <w:contextualSpacing w:val="0"/>
        <w:jc w:val="both"/>
        <w:rPr>
          <w:rFonts w:ascii="Times New Roman" w:hAnsi="Times New Roman" w:cs="Times New Roman"/>
        </w:rPr>
      </w:pPr>
      <w:r w:rsidRPr="001560F2">
        <w:rPr>
          <w:rFonts w:ascii="Times New Roman" w:hAnsi="Times New Roman" w:cs="Times New Roman"/>
        </w:rPr>
        <w:t>Public Participation Inquiry, which involves exploring how the parliament can improve its public engagement and participation practices and methods.</w:t>
      </w:r>
    </w:p>
    <w:p w14:paraId="524DF056" w14:textId="77777777" w:rsidR="00A46CEC" w:rsidRPr="006F3A5D" w:rsidRDefault="00A46CEC" w:rsidP="002D0CB1">
      <w:pPr>
        <w:pStyle w:val="ListParagraph"/>
        <w:numPr>
          <w:ilvl w:val="0"/>
          <w:numId w:val="15"/>
        </w:numPr>
        <w:spacing w:after="120"/>
        <w:contextualSpacing w:val="0"/>
        <w:jc w:val="both"/>
        <w:rPr>
          <w:rFonts w:ascii="Times New Roman" w:hAnsi="Times New Roman" w:cs="Times New Roman"/>
        </w:rPr>
      </w:pPr>
      <w:r w:rsidRPr="006F3A5D">
        <w:rPr>
          <w:rFonts w:ascii="Times New Roman" w:hAnsi="Times New Roman" w:cs="Times New Roman"/>
        </w:rPr>
        <w:t>Various public petitions on issues such as aftercare for care-experienced young people, falconry rights, British Sign Language education, abortion law, and student loan debts.</w:t>
      </w:r>
    </w:p>
    <w:p w14:paraId="1309F494"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September 2023 the Committee released a report entitled </w:t>
      </w:r>
      <w:r w:rsidRPr="006F3A5D">
        <w:rPr>
          <w:rFonts w:ascii="Times New Roman" w:hAnsi="Times New Roman" w:cs="Times New Roman"/>
          <w:i/>
          <w:iCs/>
        </w:rPr>
        <w:t>Embedding Public Participation in the Work of the Parliament</w:t>
      </w:r>
      <w:r w:rsidRPr="006F3A5D">
        <w:rPr>
          <w:rFonts w:ascii="Times New Roman" w:hAnsi="Times New Roman" w:cs="Times New Roman"/>
        </w:rPr>
        <w:t>.  It includes key recommendations and initiatives following the Committee’s extensive consultation process, which included the appointment of Citizens’ Panel on Participation to look at how the Parliament can ensure that diverse voices and communities from all parts of Scotland influence its work.</w:t>
      </w:r>
    </w:p>
    <w:p w14:paraId="7FF8835D"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To create the Citizens’ Panel, invitation letters were sent to 4,800 </w:t>
      </w:r>
      <w:proofErr w:type="gramStart"/>
      <w:r w:rsidRPr="006F3A5D">
        <w:rPr>
          <w:rFonts w:ascii="Times New Roman" w:hAnsi="Times New Roman" w:cs="Times New Roman"/>
        </w:rPr>
        <w:t>randomly-selected</w:t>
      </w:r>
      <w:proofErr w:type="gramEnd"/>
      <w:r w:rsidRPr="006F3A5D">
        <w:rPr>
          <w:rFonts w:ascii="Times New Roman" w:hAnsi="Times New Roman" w:cs="Times New Roman"/>
        </w:rPr>
        <w:t xml:space="preserve"> households across Scotland. From the replies, the Committee selected a sample of people from all over Scotland who were broadly </w:t>
      </w:r>
      <w:proofErr w:type="gramStart"/>
      <w:r w:rsidRPr="006F3A5D">
        <w:rPr>
          <w:rFonts w:ascii="Times New Roman" w:hAnsi="Times New Roman" w:cs="Times New Roman"/>
        </w:rPr>
        <w:t>similar to</w:t>
      </w:r>
      <w:proofErr w:type="gramEnd"/>
      <w:r w:rsidRPr="006F3A5D">
        <w:rPr>
          <w:rFonts w:ascii="Times New Roman" w:hAnsi="Times New Roman" w:cs="Times New Roman"/>
        </w:rPr>
        <w:t xml:space="preserve"> the Scottish population, taking account of age, gender, ethnicity, disability and education. Of the 24 people we invited, 19 were able to participate. Panel members had their travel and accommodation costs covered, were paid £330 for their time and commitment, and were given IT training and support. They worked together for over 32 hours over two weekends and three remote online sessions in October and November 2022.  The Citizen’s Panel also heard from a wide range of people, including MSPs, members of the public who have experienced barriers to participation, political scientists, </w:t>
      </w:r>
      <w:proofErr w:type="gramStart"/>
      <w:r w:rsidRPr="006F3A5D">
        <w:rPr>
          <w:rFonts w:ascii="Times New Roman" w:hAnsi="Times New Roman" w:cs="Times New Roman"/>
        </w:rPr>
        <w:t>academics</w:t>
      </w:r>
      <w:proofErr w:type="gramEnd"/>
      <w:r w:rsidRPr="006F3A5D">
        <w:rPr>
          <w:rFonts w:ascii="Times New Roman" w:hAnsi="Times New Roman" w:cs="Times New Roman"/>
        </w:rPr>
        <w:t xml:space="preserve"> and community organisations.  At the end of the process, the Panel made seventeen recommendations to improve how the Parliament engages with the people of Scotland. These were published in the Committee’s interim report on 16 December 2022. </w:t>
      </w:r>
    </w:p>
    <w:p w14:paraId="7BD4906D" w14:textId="77777777" w:rsidR="00A46CEC" w:rsidRPr="006F3A5D" w:rsidRDefault="00A46CEC"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key finding of the Committee’s inquiry was that ‘scrutiny and representative democracy can be supported and made better through the use of deliberative </w:t>
      </w:r>
      <w:proofErr w:type="gramStart"/>
      <w:r w:rsidRPr="006F3A5D">
        <w:rPr>
          <w:rFonts w:ascii="Times New Roman" w:hAnsi="Times New Roman" w:cs="Times New Roman"/>
        </w:rPr>
        <w:t>models’</w:t>
      </w:r>
      <w:proofErr w:type="gramEnd"/>
      <w:r w:rsidRPr="006F3A5D">
        <w:rPr>
          <w:rFonts w:ascii="Times New Roman" w:hAnsi="Times New Roman" w:cs="Times New Roman"/>
        </w:rPr>
        <w:t>.  The Committee explained that this can be guided by overarching principles, rather requiring one-size-fits all processes or structures.  The principles recommended were that:</w:t>
      </w:r>
    </w:p>
    <w:p w14:paraId="24B5995D" w14:textId="77777777" w:rsidR="00A46CEC" w:rsidRPr="006F3A5D" w:rsidRDefault="00A46CEC" w:rsidP="002D0CB1">
      <w:pPr>
        <w:pStyle w:val="ListParagraph"/>
        <w:numPr>
          <w:ilvl w:val="0"/>
          <w:numId w:val="14"/>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deliberative democracy should complement the existing model of representative democracy and be used to support the scrutiny process.</w:t>
      </w:r>
    </w:p>
    <w:p w14:paraId="65C950AF" w14:textId="77777777" w:rsidR="00A46CEC" w:rsidRPr="006F3A5D" w:rsidRDefault="00A46CEC" w:rsidP="002D0CB1">
      <w:pPr>
        <w:pStyle w:val="ListParagraph"/>
        <w:numPr>
          <w:ilvl w:val="0"/>
          <w:numId w:val="14"/>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 xml:space="preserve">the way in which deliberative methods are used, from recruitment through to reporting and feedback, should be transparent and subject to a governance and accountability framework. </w:t>
      </w:r>
    </w:p>
    <w:p w14:paraId="772949D9" w14:textId="77777777" w:rsidR="00A46CEC" w:rsidRPr="006F3A5D" w:rsidRDefault="00A46CEC" w:rsidP="002D0CB1">
      <w:pPr>
        <w:pStyle w:val="ListParagraph"/>
        <w:numPr>
          <w:ilvl w:val="0"/>
          <w:numId w:val="14"/>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 xml:space="preserve">the deliberative methods used should be proportionate and relevant to the topic, and the scrutiny context. </w:t>
      </w:r>
    </w:p>
    <w:p w14:paraId="060308D7" w14:textId="77777777" w:rsidR="00A46CEC" w:rsidRPr="006F3A5D" w:rsidRDefault="00A46CEC" w:rsidP="002D0CB1">
      <w:pPr>
        <w:pStyle w:val="ListParagraph"/>
        <w:numPr>
          <w:ilvl w:val="0"/>
          <w:numId w:val="14"/>
        </w:numPr>
        <w:spacing w:after="120"/>
        <w:ind w:left="714" w:hanging="357"/>
        <w:contextualSpacing w:val="0"/>
        <w:jc w:val="both"/>
        <w:rPr>
          <w:rFonts w:ascii="Times New Roman" w:hAnsi="Times New Roman" w:cs="Times New Roman"/>
        </w:rPr>
      </w:pPr>
      <w:r w:rsidRPr="006F3A5D">
        <w:rPr>
          <w:rFonts w:ascii="Times New Roman" w:hAnsi="Times New Roman" w:cs="Times New Roman"/>
        </w:rPr>
        <w:t xml:space="preserve">participants in deliberative democracy should be supported, </w:t>
      </w:r>
      <w:proofErr w:type="gramStart"/>
      <w:r w:rsidRPr="006F3A5D">
        <w:rPr>
          <w:rFonts w:ascii="Times New Roman" w:hAnsi="Times New Roman" w:cs="Times New Roman"/>
        </w:rPr>
        <w:t>empowered</w:t>
      </w:r>
      <w:proofErr w:type="gramEnd"/>
      <w:r w:rsidRPr="006F3A5D">
        <w:rPr>
          <w:rFonts w:ascii="Times New Roman" w:hAnsi="Times New Roman" w:cs="Times New Roman"/>
        </w:rPr>
        <w:t xml:space="preserve"> and given feedback on how their recommendations are used.</w:t>
      </w:r>
    </w:p>
    <w:p w14:paraId="3D76CF16" w14:textId="5F9E3295" w:rsidR="00A46CEC" w:rsidRPr="006F3A5D" w:rsidRDefault="00A46CEC" w:rsidP="002D0CB1">
      <w:pPr>
        <w:spacing w:after="120" w:line="240" w:lineRule="auto"/>
        <w:jc w:val="both"/>
        <w:rPr>
          <w:rFonts w:ascii="Times New Roman" w:hAnsi="Times New Roman" w:cs="Times New Roman"/>
          <w:lang w:val="en-GB"/>
        </w:rPr>
      </w:pPr>
      <w:r w:rsidRPr="006F3A5D">
        <w:rPr>
          <w:rFonts w:ascii="Times New Roman" w:hAnsi="Times New Roman" w:cs="Times New Roman"/>
        </w:rPr>
        <w:t>The Scottish Parliament Data Visualisation Team also published the following graphic summarizing the next steps in terms of implementing these principles, and other findings contained in the Report, into practice within the Scottish Parliament</w:t>
      </w:r>
      <w:r w:rsidR="0057114C">
        <w:rPr>
          <w:rFonts w:ascii="Times New Roman" w:hAnsi="Times New Roman" w:cs="Times New Roman"/>
        </w:rPr>
        <w:t xml:space="preserve">. </w:t>
      </w:r>
    </w:p>
    <w:p w14:paraId="11F35490" w14:textId="16601F0F" w:rsidR="00165E91" w:rsidRDefault="00A46CEC" w:rsidP="002D0CB1">
      <w:pPr>
        <w:spacing w:after="120" w:line="240" w:lineRule="auto"/>
        <w:jc w:val="both"/>
        <w:rPr>
          <w:rFonts w:ascii="Times New Roman" w:hAnsi="Times New Roman" w:cs="Times New Roman"/>
          <w:lang w:val="en-GB"/>
        </w:rPr>
      </w:pPr>
      <w:r w:rsidRPr="006F3A5D">
        <w:rPr>
          <w:rFonts w:ascii="Times New Roman" w:hAnsi="Times New Roman" w:cs="Times New Roman"/>
          <w:b/>
          <w:bCs/>
          <w:noProof/>
        </w:rPr>
        <w:lastRenderedPageBreak/>
        <w:drawing>
          <wp:inline distT="0" distB="0" distL="0" distR="0" wp14:anchorId="17DC0A2D" wp14:editId="61101653">
            <wp:extent cx="3957717" cy="3352800"/>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431" t="21717" r="15398" b="1473"/>
                    <a:stretch/>
                  </pic:blipFill>
                  <pic:spPr bwMode="auto">
                    <a:xfrm>
                      <a:off x="0" y="0"/>
                      <a:ext cx="3974044" cy="3366631"/>
                    </a:xfrm>
                    <a:prstGeom prst="rect">
                      <a:avLst/>
                    </a:prstGeom>
                    <a:ln>
                      <a:noFill/>
                    </a:ln>
                    <a:extLst>
                      <a:ext uri="{53640926-AAD7-44D8-BBD7-CCE9431645EC}">
                        <a14:shadowObscured xmlns:a14="http://schemas.microsoft.com/office/drawing/2010/main"/>
                      </a:ext>
                    </a:extLst>
                  </pic:spPr>
                </pic:pic>
              </a:graphicData>
            </a:graphic>
          </wp:inline>
        </w:drawing>
      </w:r>
    </w:p>
    <w:p w14:paraId="1E7C13A5" w14:textId="1728839B" w:rsidR="007F45D4" w:rsidRDefault="000A2D65" w:rsidP="002376DE">
      <w:pPr>
        <w:pStyle w:val="Heading3"/>
      </w:pPr>
      <w:r>
        <w:t xml:space="preserve">Creating forums </w:t>
      </w:r>
      <w:r w:rsidR="00FB59FC">
        <w:t xml:space="preserve">to elevate and value the voices of </w:t>
      </w:r>
      <w:r>
        <w:t xml:space="preserve">older people </w:t>
      </w:r>
      <w:r w:rsidR="00FB59FC">
        <w:t xml:space="preserve">in </w:t>
      </w:r>
      <w:proofErr w:type="gramStart"/>
      <w:r w:rsidR="00AA35E7">
        <w:t>parliament</w:t>
      </w:r>
      <w:proofErr w:type="gramEnd"/>
    </w:p>
    <w:p w14:paraId="73A130E9" w14:textId="25664A77" w:rsidR="00165E91" w:rsidRDefault="00D54D35" w:rsidP="001560F2">
      <w:pPr>
        <w:spacing w:after="120" w:line="240" w:lineRule="auto"/>
        <w:jc w:val="both"/>
        <w:rPr>
          <w:rFonts w:ascii="Times New Roman" w:hAnsi="Times New Roman" w:cs="Times New Roman"/>
        </w:rPr>
      </w:pPr>
      <w:r w:rsidRPr="000E53DF">
        <w:rPr>
          <w:rFonts w:ascii="Times New Roman" w:hAnsi="Times New Roman" w:cs="Times New Roman"/>
        </w:rPr>
        <w:t>As discussed above,</w:t>
      </w:r>
      <w:r w:rsidR="00885EBC" w:rsidRPr="000E53DF">
        <w:rPr>
          <w:rFonts w:ascii="Times New Roman" w:hAnsi="Times New Roman" w:cs="Times New Roman"/>
        </w:rPr>
        <w:t xml:space="preserve"> developing</w:t>
      </w:r>
      <w:r w:rsidRPr="000E53DF">
        <w:rPr>
          <w:rFonts w:ascii="Times New Roman" w:hAnsi="Times New Roman" w:cs="Times New Roman"/>
        </w:rPr>
        <w:t xml:space="preserve"> intergenerational resilience </w:t>
      </w:r>
      <w:r w:rsidR="00F93459" w:rsidRPr="000E53DF">
        <w:rPr>
          <w:rFonts w:ascii="Times New Roman" w:hAnsi="Times New Roman" w:cs="Times New Roman"/>
        </w:rPr>
        <w:t xml:space="preserve">requires </w:t>
      </w:r>
      <w:r w:rsidR="00060BFE" w:rsidRPr="000E53DF">
        <w:rPr>
          <w:rFonts w:ascii="Times New Roman" w:hAnsi="Times New Roman" w:cs="Times New Roman"/>
        </w:rPr>
        <w:t xml:space="preserve">knowledge sharing and power sharing between generations, and an acknowledgement of the value of including the perspectives of </w:t>
      </w:r>
      <w:r w:rsidR="008751A3" w:rsidRPr="000E53DF">
        <w:rPr>
          <w:rFonts w:ascii="Times New Roman" w:hAnsi="Times New Roman" w:cs="Times New Roman"/>
        </w:rPr>
        <w:t xml:space="preserve">a diverse range of voices in public decision-making.  </w:t>
      </w:r>
      <w:r w:rsidR="00394096">
        <w:rPr>
          <w:rFonts w:ascii="Times New Roman" w:hAnsi="Times New Roman" w:cs="Times New Roman"/>
        </w:rPr>
        <w:t xml:space="preserve">This includes </w:t>
      </w:r>
      <w:r w:rsidR="00165E91">
        <w:rPr>
          <w:rFonts w:ascii="Times New Roman" w:hAnsi="Times New Roman" w:cs="Times New Roman"/>
        </w:rPr>
        <w:t xml:space="preserve">valuing the experiences and expertise of older </w:t>
      </w:r>
      <w:r w:rsidR="001560F2">
        <w:rPr>
          <w:rFonts w:ascii="Times New Roman" w:hAnsi="Times New Roman" w:cs="Times New Roman"/>
        </w:rPr>
        <w:t>people and</w:t>
      </w:r>
      <w:r w:rsidR="00165E91">
        <w:rPr>
          <w:rFonts w:ascii="Times New Roman" w:hAnsi="Times New Roman" w:cs="Times New Roman"/>
        </w:rPr>
        <w:t xml:space="preserve"> thinking proactively about how to engage and empower older people to connect with democratic institutions including parliaments.  Older people’s perspective can help contextualise complex policy problems and reconceptualise contemporary ‘crisis’ in ways that </w:t>
      </w:r>
      <w:r w:rsidR="001F0E4A">
        <w:rPr>
          <w:rFonts w:ascii="Times New Roman" w:hAnsi="Times New Roman" w:cs="Times New Roman"/>
        </w:rPr>
        <w:t>enable alternative solutions to be visible and actioned.  For example, as Ward, Ray and Tanner observed in 2020, following their qualitative research with older people on the issue of social care in England:</w:t>
      </w:r>
    </w:p>
    <w:p w14:paraId="56F5622A" w14:textId="1F700126" w:rsidR="00165E91" w:rsidRDefault="00165E91" w:rsidP="001560F2">
      <w:pPr>
        <w:pStyle w:val="Quote"/>
        <w:spacing w:after="120"/>
      </w:pPr>
      <w:r>
        <w:t xml:space="preserve">By </w:t>
      </w:r>
      <w:proofErr w:type="spellStart"/>
      <w:r>
        <w:t>contextualising</w:t>
      </w:r>
      <w:proofErr w:type="spellEnd"/>
      <w:r>
        <w:t xml:space="preserve"> the experiences of our participants as they negotiate the social care market the parameters of the ‘</w:t>
      </w:r>
      <w:proofErr w:type="gramStart"/>
      <w:r>
        <w:t>crisis’</w:t>
      </w:r>
      <w:proofErr w:type="gramEnd"/>
      <w:r>
        <w:t xml:space="preserve"> become clear. It is not purely an economic crisis of excessive public expenditure and debt, as the government claims </w:t>
      </w:r>
      <w:proofErr w:type="gramStart"/>
      <w:r>
        <w:t>in order to</w:t>
      </w:r>
      <w:proofErr w:type="gramEnd"/>
      <w:r>
        <w:t xml:space="preserve"> manage the fiscal crisis in the banking sec</w:t>
      </w:r>
      <w:r>
        <w:softHyphen/>
        <w:t xml:space="preserve">tor. Nor is it not just a crisis in care for the lives of the millions of ordinary people who have been impacted by the austerity policies. It is a crisis of care and a crisis of democracy in the lack of public debate, </w:t>
      </w:r>
      <w:proofErr w:type="gramStart"/>
      <w:r>
        <w:t>agreement</w:t>
      </w:r>
      <w:proofErr w:type="gramEnd"/>
      <w:r>
        <w:t xml:space="preserve"> and decision-making on major and far-reaching decisions about the basic infra</w:t>
      </w:r>
      <w:r>
        <w:softHyphen/>
        <w:t>structure of society</w:t>
      </w:r>
      <w:r w:rsidR="001F0E4A">
        <w:t xml:space="preserve"> (at 237)</w:t>
      </w:r>
      <w:r>
        <w:t>.</w:t>
      </w:r>
    </w:p>
    <w:p w14:paraId="01A36F2C" w14:textId="75ECA1D4" w:rsidR="001F0E4A" w:rsidRPr="000E53DF" w:rsidRDefault="001F0E4A" w:rsidP="001560F2">
      <w:pPr>
        <w:spacing w:after="120" w:line="240" w:lineRule="auto"/>
        <w:jc w:val="both"/>
        <w:rPr>
          <w:rFonts w:ascii="Times New Roman" w:hAnsi="Times New Roman" w:cs="Times New Roman"/>
        </w:rPr>
      </w:pPr>
      <w:r>
        <w:rPr>
          <w:rFonts w:ascii="Times New Roman" w:hAnsi="Times New Roman" w:cs="Times New Roman"/>
        </w:rPr>
        <w:t xml:space="preserve">The value of included older people’s voices in parliamentary decision making </w:t>
      </w:r>
      <w:r w:rsidR="00343947" w:rsidRPr="000E53DF">
        <w:rPr>
          <w:rFonts w:ascii="Times New Roman" w:hAnsi="Times New Roman" w:cs="Times New Roman"/>
        </w:rPr>
        <w:t xml:space="preserve">has been recognised by </w:t>
      </w:r>
      <w:r w:rsidR="00215DD2" w:rsidRPr="000E53DF">
        <w:rPr>
          <w:rFonts w:ascii="Times New Roman" w:hAnsi="Times New Roman" w:cs="Times New Roman"/>
        </w:rPr>
        <w:t xml:space="preserve">parliaments in Northern Ireland and the Republic of Ireland in a range of ways, including through the </w:t>
      </w:r>
      <w:r w:rsidR="00A23E46" w:rsidRPr="000E53DF">
        <w:rPr>
          <w:rFonts w:ascii="Times New Roman" w:hAnsi="Times New Roman" w:cs="Times New Roman"/>
        </w:rPr>
        <w:t xml:space="preserve">co-design </w:t>
      </w:r>
      <w:r>
        <w:rPr>
          <w:rFonts w:ascii="Times New Roman" w:hAnsi="Times New Roman" w:cs="Times New Roman"/>
        </w:rPr>
        <w:t xml:space="preserve">and </w:t>
      </w:r>
      <w:r w:rsidR="00FE52C2" w:rsidRPr="000E53DF">
        <w:rPr>
          <w:rFonts w:ascii="Times New Roman" w:hAnsi="Times New Roman" w:cs="Times New Roman"/>
        </w:rPr>
        <w:t>establishment of Elders Parliaments</w:t>
      </w:r>
      <w:r w:rsidR="0058388F" w:rsidRPr="000E53DF">
        <w:rPr>
          <w:rFonts w:ascii="Times New Roman" w:hAnsi="Times New Roman" w:cs="Times New Roman"/>
        </w:rPr>
        <w:t xml:space="preserve"> or Older Persons Parliaments</w:t>
      </w:r>
      <w:r w:rsidR="006C28EB" w:rsidRPr="000E53DF">
        <w:rPr>
          <w:rFonts w:ascii="Times New Roman" w:hAnsi="Times New Roman" w:cs="Times New Roman"/>
        </w:rPr>
        <w:t>.</w:t>
      </w:r>
    </w:p>
    <w:p w14:paraId="127BB740" w14:textId="7F98ADE1" w:rsidR="001F0E4A" w:rsidRPr="00AA35E7" w:rsidRDefault="00DD508E" w:rsidP="00AA35E7">
      <w:pPr>
        <w:jc w:val="both"/>
        <w:rPr>
          <w:rFonts w:ascii="Times New Roman" w:hAnsi="Times New Roman" w:cs="Times New Roman"/>
        </w:rPr>
      </w:pPr>
      <w:r w:rsidRPr="00AA35E7">
        <w:rPr>
          <w:rFonts w:ascii="Times New Roman" w:hAnsi="Times New Roman" w:cs="Times New Roman"/>
        </w:rPr>
        <w:t>The Northern Ireland Assembly’s Older People’s Parliament</w:t>
      </w:r>
      <w:r w:rsidR="001F0E4A" w:rsidRPr="00AA35E7">
        <w:rPr>
          <w:rFonts w:ascii="Times New Roman" w:hAnsi="Times New Roman" w:cs="Times New Roman"/>
        </w:rPr>
        <w:t xml:space="preserve"> was fi</w:t>
      </w:r>
      <w:r w:rsidRPr="00AA35E7">
        <w:rPr>
          <w:rFonts w:ascii="Times New Roman" w:hAnsi="Times New Roman" w:cs="Times New Roman"/>
        </w:rPr>
        <w:t xml:space="preserve">rst </w:t>
      </w:r>
      <w:r w:rsidR="00D274A8" w:rsidRPr="00AA35E7">
        <w:rPr>
          <w:rFonts w:ascii="Times New Roman" w:hAnsi="Times New Roman" w:cs="Times New Roman"/>
        </w:rPr>
        <w:t>convened</w:t>
      </w:r>
      <w:r w:rsidRPr="00AA35E7">
        <w:rPr>
          <w:rFonts w:ascii="Times New Roman" w:hAnsi="Times New Roman" w:cs="Times New Roman"/>
        </w:rPr>
        <w:t xml:space="preserve"> during the COVID </w:t>
      </w:r>
      <w:r w:rsidR="00D274A8" w:rsidRPr="00AA35E7">
        <w:rPr>
          <w:rFonts w:ascii="Times New Roman" w:hAnsi="Times New Roman" w:cs="Times New Roman"/>
        </w:rPr>
        <w:t>period of 2021-2022</w:t>
      </w:r>
      <w:r w:rsidR="001F0E4A" w:rsidRPr="00AA35E7">
        <w:rPr>
          <w:rFonts w:ascii="Times New Roman" w:hAnsi="Times New Roman" w:cs="Times New Roman"/>
        </w:rPr>
        <w:t xml:space="preserve">.  It </w:t>
      </w:r>
      <w:r w:rsidRPr="00AA35E7">
        <w:rPr>
          <w:rFonts w:ascii="Times New Roman" w:hAnsi="Times New Roman" w:cs="Times New Roman"/>
        </w:rPr>
        <w:t xml:space="preserve">provides a platform for older </w:t>
      </w:r>
      <w:r w:rsidR="00D274A8" w:rsidRPr="00AA35E7">
        <w:rPr>
          <w:rFonts w:ascii="Times New Roman" w:hAnsi="Times New Roman" w:cs="Times New Roman"/>
        </w:rPr>
        <w:t xml:space="preserve">people in Northern Ireland </w:t>
      </w:r>
      <w:r w:rsidRPr="00AA35E7">
        <w:rPr>
          <w:rFonts w:ascii="Times New Roman" w:hAnsi="Times New Roman" w:cs="Times New Roman"/>
        </w:rPr>
        <w:t xml:space="preserve">to voice their concerns </w:t>
      </w:r>
      <w:r w:rsidR="001F0E4A" w:rsidRPr="00AA35E7">
        <w:rPr>
          <w:rFonts w:ascii="Times New Roman" w:hAnsi="Times New Roman" w:cs="Times New Roman"/>
        </w:rPr>
        <w:t xml:space="preserve">about public service delivery and other aspects of public decision making </w:t>
      </w:r>
      <w:r w:rsidRPr="00AA35E7">
        <w:rPr>
          <w:rFonts w:ascii="Times New Roman" w:hAnsi="Times New Roman" w:cs="Times New Roman"/>
        </w:rPr>
        <w:t>directly to</w:t>
      </w:r>
      <w:r w:rsidR="001F0E4A" w:rsidRPr="00AA35E7">
        <w:rPr>
          <w:rFonts w:ascii="Times New Roman" w:hAnsi="Times New Roman" w:cs="Times New Roman"/>
        </w:rPr>
        <w:t xml:space="preserve"> elected members and government</w:t>
      </w:r>
      <w:r w:rsidRPr="00AA35E7">
        <w:rPr>
          <w:rFonts w:ascii="Times New Roman" w:hAnsi="Times New Roman" w:cs="Times New Roman"/>
        </w:rPr>
        <w:t xml:space="preserve"> </w:t>
      </w:r>
      <w:r w:rsidR="001F0E4A" w:rsidRPr="00AA35E7">
        <w:rPr>
          <w:rFonts w:ascii="Times New Roman" w:hAnsi="Times New Roman" w:cs="Times New Roman"/>
        </w:rPr>
        <w:t>authorities</w:t>
      </w:r>
      <w:r w:rsidRPr="00AA35E7">
        <w:rPr>
          <w:rFonts w:ascii="Times New Roman" w:hAnsi="Times New Roman" w:cs="Times New Roman"/>
        </w:rPr>
        <w:t xml:space="preserve">. </w:t>
      </w:r>
      <w:r w:rsidR="001F0E4A" w:rsidRPr="00AA35E7">
        <w:rPr>
          <w:rFonts w:ascii="Times New Roman" w:hAnsi="Times New Roman" w:cs="Times New Roman"/>
        </w:rPr>
        <w:t xml:space="preserve"> The Older People’s Parliament is underpinned by data derived from targeted c</w:t>
      </w:r>
      <w:r w:rsidRPr="00AA35E7">
        <w:rPr>
          <w:rFonts w:ascii="Times New Roman" w:hAnsi="Times New Roman" w:cs="Times New Roman"/>
        </w:rPr>
        <w:t>onsultations and surveys</w:t>
      </w:r>
      <w:r w:rsidR="001F0E4A" w:rsidRPr="00AA35E7">
        <w:rPr>
          <w:rFonts w:ascii="Times New Roman" w:hAnsi="Times New Roman" w:cs="Times New Roman"/>
        </w:rPr>
        <w:t xml:space="preserve"> of older people from throughout the jurisdiction, which feeds into the agenda of the Older People’s Parliament and is also available to elected members of </w:t>
      </w:r>
      <w:r w:rsidRPr="00AA35E7">
        <w:rPr>
          <w:rFonts w:ascii="Times New Roman" w:hAnsi="Times New Roman" w:cs="Times New Roman"/>
        </w:rPr>
        <w:t>the Assembly.</w:t>
      </w:r>
      <w:r w:rsidR="001F0E4A" w:rsidRPr="00AA35E7">
        <w:rPr>
          <w:rFonts w:ascii="Times New Roman" w:hAnsi="Times New Roman" w:cs="Times New Roman"/>
        </w:rPr>
        <w:t xml:space="preserve">  Another example is the </w:t>
      </w:r>
      <w:r w:rsidRPr="00AA35E7">
        <w:rPr>
          <w:rFonts w:ascii="Times New Roman" w:hAnsi="Times New Roman" w:cs="Times New Roman"/>
        </w:rPr>
        <w:t xml:space="preserve">Irish Senior Citizens’ Parliament </w:t>
      </w:r>
      <w:r w:rsidR="001F0E4A" w:rsidRPr="00AA35E7">
        <w:rPr>
          <w:rFonts w:ascii="Times New Roman" w:hAnsi="Times New Roman" w:cs="Times New Roman"/>
        </w:rPr>
        <w:t xml:space="preserve">(ISCP) which </w:t>
      </w:r>
      <w:r w:rsidRPr="00AA35E7">
        <w:rPr>
          <w:rFonts w:ascii="Times New Roman" w:hAnsi="Times New Roman" w:cs="Times New Roman"/>
        </w:rPr>
        <w:t>represent</w:t>
      </w:r>
      <w:r w:rsidR="001F0E4A" w:rsidRPr="00AA35E7">
        <w:rPr>
          <w:rFonts w:ascii="Times New Roman" w:hAnsi="Times New Roman" w:cs="Times New Roman"/>
        </w:rPr>
        <w:t>s</w:t>
      </w:r>
      <w:r w:rsidRPr="00AA35E7">
        <w:rPr>
          <w:rFonts w:ascii="Times New Roman" w:hAnsi="Times New Roman" w:cs="Times New Roman"/>
        </w:rPr>
        <w:t xml:space="preserve"> over 500,000 older individuals through its affiliated organi</w:t>
      </w:r>
      <w:r w:rsidR="001F0E4A" w:rsidRPr="00AA35E7">
        <w:rPr>
          <w:rFonts w:ascii="Times New Roman" w:hAnsi="Times New Roman" w:cs="Times New Roman"/>
        </w:rPr>
        <w:t>sa</w:t>
      </w:r>
      <w:r w:rsidRPr="00AA35E7">
        <w:rPr>
          <w:rFonts w:ascii="Times New Roman" w:hAnsi="Times New Roman" w:cs="Times New Roman"/>
        </w:rPr>
        <w:t xml:space="preserve">tions. </w:t>
      </w:r>
      <w:r w:rsidR="001F0E4A" w:rsidRPr="00AA35E7">
        <w:rPr>
          <w:rFonts w:ascii="Times New Roman" w:hAnsi="Times New Roman" w:cs="Times New Roman"/>
        </w:rPr>
        <w:t xml:space="preserve">Members of the </w:t>
      </w:r>
      <w:r w:rsidRPr="00AA35E7">
        <w:rPr>
          <w:rFonts w:ascii="Times New Roman" w:hAnsi="Times New Roman" w:cs="Times New Roman"/>
        </w:rPr>
        <w:t>ISCP</w:t>
      </w:r>
      <w:r w:rsidR="001F0E4A" w:rsidRPr="00AA35E7">
        <w:rPr>
          <w:rFonts w:ascii="Times New Roman" w:hAnsi="Times New Roman" w:cs="Times New Roman"/>
        </w:rPr>
        <w:t xml:space="preserve"> are democratically elected at</w:t>
      </w:r>
      <w:r w:rsidRPr="00AA35E7">
        <w:rPr>
          <w:rFonts w:ascii="Times New Roman" w:hAnsi="Times New Roman" w:cs="Times New Roman"/>
        </w:rPr>
        <w:t xml:space="preserve"> annual elections by delegates </w:t>
      </w:r>
      <w:r w:rsidR="001F0E4A" w:rsidRPr="00AA35E7">
        <w:rPr>
          <w:rFonts w:ascii="Times New Roman" w:hAnsi="Times New Roman" w:cs="Times New Roman"/>
        </w:rPr>
        <w:lastRenderedPageBreak/>
        <w:t xml:space="preserve">to </w:t>
      </w:r>
      <w:r w:rsidRPr="00AA35E7">
        <w:rPr>
          <w:rFonts w:ascii="Times New Roman" w:hAnsi="Times New Roman" w:cs="Times New Roman"/>
        </w:rPr>
        <w:t>ensure that it genuinely reflects the views of older people</w:t>
      </w:r>
      <w:r w:rsidR="001F0E4A" w:rsidRPr="00AA35E7">
        <w:rPr>
          <w:rFonts w:ascii="Times New Roman" w:hAnsi="Times New Roman" w:cs="Times New Roman"/>
        </w:rPr>
        <w:t xml:space="preserve"> when it develops and prosecutes its policy agenda and contributes to the work of the Oireachtas.</w:t>
      </w:r>
    </w:p>
    <w:p w14:paraId="6AD9AE25" w14:textId="407617EE" w:rsidR="00A9544B" w:rsidRPr="006F3A5D" w:rsidRDefault="007F45D4" w:rsidP="00AA35E7">
      <w:pPr>
        <w:spacing w:after="120" w:line="240" w:lineRule="auto"/>
        <w:jc w:val="both"/>
        <w:rPr>
          <w:rFonts w:ascii="Times New Roman" w:hAnsi="Times New Roman" w:cs="Times New Roman"/>
          <w:kern w:val="0"/>
          <w:lang w:val="en-US"/>
          <w14:ligatures w14:val="none"/>
        </w:rPr>
      </w:pPr>
      <w:r w:rsidRPr="006F3A5D">
        <w:rPr>
          <w:rFonts w:ascii="Times New Roman" w:hAnsi="Times New Roman" w:cs="Times New Roman"/>
        </w:rPr>
        <w:t xml:space="preserve">In each of these </w:t>
      </w:r>
      <w:r w:rsidR="00AA35E7">
        <w:rPr>
          <w:rFonts w:ascii="Times New Roman" w:hAnsi="Times New Roman" w:cs="Times New Roman"/>
        </w:rPr>
        <w:t xml:space="preserve">examples, the parliamentary institutions involved </w:t>
      </w:r>
      <w:r w:rsidRPr="006F3A5D">
        <w:rPr>
          <w:rFonts w:ascii="Times New Roman" w:hAnsi="Times New Roman" w:cs="Times New Roman"/>
        </w:rPr>
        <w:t xml:space="preserve">have </w:t>
      </w:r>
      <w:r w:rsidR="00AA35E7">
        <w:rPr>
          <w:rFonts w:ascii="Times New Roman" w:hAnsi="Times New Roman" w:cs="Times New Roman"/>
        </w:rPr>
        <w:t xml:space="preserve">used demographic data and research to identify with precision the types of voices that are seldom heard in their parliaments, and worked alongside members of disenfranchised communities to design and implement engagement strategies that facilitate democratic listening, as well as parliamentary education or information exchange.  The institutional actors have </w:t>
      </w:r>
      <w:r w:rsidRPr="006F3A5D">
        <w:rPr>
          <w:rFonts w:ascii="Times New Roman" w:hAnsi="Times New Roman" w:cs="Times New Roman"/>
        </w:rPr>
        <w:t xml:space="preserve">learnt </w:t>
      </w:r>
      <w:r w:rsidRPr="00AA35E7">
        <w:rPr>
          <w:rFonts w:ascii="Times New Roman" w:hAnsi="Times New Roman" w:cs="Times New Roman"/>
        </w:rPr>
        <w:t xml:space="preserve">to listen rather than lead.  The institutions involved have made space for </w:t>
      </w:r>
      <w:r w:rsidR="00AA35E7" w:rsidRPr="00AA35E7">
        <w:rPr>
          <w:rFonts w:ascii="Times New Roman" w:hAnsi="Times New Roman" w:cs="Times New Roman"/>
        </w:rPr>
        <w:t>different generations</w:t>
      </w:r>
      <w:r w:rsidRPr="00AA35E7">
        <w:rPr>
          <w:rFonts w:ascii="Times New Roman" w:hAnsi="Times New Roman" w:cs="Times New Roman"/>
        </w:rPr>
        <w:t xml:space="preserve"> to create their own conditions for change. They have adopted systematic approaches</w:t>
      </w:r>
      <w:r w:rsidRPr="006F3A5D">
        <w:rPr>
          <w:rFonts w:ascii="Times New Roman" w:hAnsi="Times New Roman" w:cs="Times New Roman"/>
        </w:rPr>
        <w:t xml:space="preserve"> to hearing from the right people at the right time and have invested in collecting rich information that can be shared across agencies and actors.  </w:t>
      </w:r>
      <w:r w:rsidR="00AA35E7">
        <w:rPr>
          <w:rFonts w:ascii="Times New Roman" w:hAnsi="Times New Roman" w:cs="Times New Roman"/>
        </w:rPr>
        <w:t xml:space="preserve">Importantly, when parliaments create space for communities to democratically elect representatives to speak on their behalf – to develop their own </w:t>
      </w:r>
      <w:r w:rsidR="00AA35E7" w:rsidRPr="00AA35E7">
        <w:rPr>
          <w:rFonts w:ascii="Times New Roman" w:hAnsi="Times New Roman" w:cs="Times New Roman"/>
        </w:rPr>
        <w:t xml:space="preserve">mandate for substantive </w:t>
      </w:r>
      <w:r w:rsidR="00AA35E7">
        <w:rPr>
          <w:rFonts w:ascii="Times New Roman" w:hAnsi="Times New Roman" w:cs="Times New Roman"/>
        </w:rPr>
        <w:t xml:space="preserve">political or policy </w:t>
      </w:r>
      <w:r w:rsidR="00AA35E7" w:rsidRPr="00AA35E7">
        <w:rPr>
          <w:rFonts w:ascii="Times New Roman" w:hAnsi="Times New Roman" w:cs="Times New Roman"/>
        </w:rPr>
        <w:t xml:space="preserve">change </w:t>
      </w:r>
      <w:r w:rsidR="00AA35E7">
        <w:rPr>
          <w:rFonts w:ascii="Times New Roman" w:hAnsi="Times New Roman" w:cs="Times New Roman"/>
        </w:rPr>
        <w:t xml:space="preserve">– they transcend the conventional </w:t>
      </w:r>
      <w:r w:rsidRPr="006F3A5D">
        <w:rPr>
          <w:rFonts w:ascii="Times New Roman" w:hAnsi="Times New Roman" w:cs="Times New Roman"/>
        </w:rPr>
        <w:t>teacher/student approach to including</w:t>
      </w:r>
      <w:r w:rsidR="00AA35E7">
        <w:rPr>
          <w:rFonts w:ascii="Times New Roman" w:hAnsi="Times New Roman" w:cs="Times New Roman"/>
        </w:rPr>
        <w:t xml:space="preserve"> seldom heard voices</w:t>
      </w:r>
      <w:r w:rsidRPr="006F3A5D">
        <w:rPr>
          <w:rFonts w:ascii="Times New Roman" w:hAnsi="Times New Roman" w:cs="Times New Roman"/>
        </w:rPr>
        <w:t xml:space="preserve"> in democratic discourse.  </w:t>
      </w:r>
      <w:r w:rsidR="00AA35E7">
        <w:rPr>
          <w:rFonts w:ascii="Times New Roman" w:hAnsi="Times New Roman" w:cs="Times New Roman"/>
        </w:rPr>
        <w:t xml:space="preserve">This initially requires resourcing and courage – but delivers cost savings over the longer term, as it enables parliaments to develop relationships of trust with communities that are vital to all aspects of their business, and upon whom their long-term institutional legitimacy depends.  In other words, when parliaments reconceptualise what counts as valuable expertise and </w:t>
      </w:r>
      <w:r w:rsidR="001560F2">
        <w:rPr>
          <w:rFonts w:ascii="Times New Roman" w:hAnsi="Times New Roman" w:cs="Times New Roman"/>
        </w:rPr>
        <w:t>evidence and</w:t>
      </w:r>
      <w:r w:rsidR="00AA35E7">
        <w:rPr>
          <w:rFonts w:ascii="Times New Roman" w:hAnsi="Times New Roman" w:cs="Times New Roman"/>
        </w:rPr>
        <w:t xml:space="preserve"> give strategic value to meaningful democratic engagement across all generations and social groups, they can facilitate democratic listening and become sites of intergenerational resilience.</w:t>
      </w:r>
    </w:p>
    <w:p w14:paraId="58B95C97" w14:textId="77777777" w:rsidR="00A46CEC" w:rsidRPr="006F3A5D" w:rsidRDefault="00A46CEC" w:rsidP="00A811FC">
      <w:pPr>
        <w:pStyle w:val="Heading2"/>
        <w:rPr>
          <w:lang w:val="en-GB"/>
        </w:rPr>
      </w:pPr>
      <w:r w:rsidRPr="006F3A5D">
        <w:rPr>
          <w:lang w:val="en-GB"/>
        </w:rPr>
        <w:t xml:space="preserve">Toolkits for </w:t>
      </w:r>
      <w:r w:rsidRPr="006F3A5D">
        <w:t xml:space="preserve">designing, implementing or evaluating democratic engagement strategies within parliamentary </w:t>
      </w:r>
      <w:proofErr w:type="gramStart"/>
      <w:r w:rsidRPr="006F3A5D">
        <w:t>settings</w:t>
      </w:r>
      <w:proofErr w:type="gramEnd"/>
    </w:p>
    <w:p w14:paraId="65258399" w14:textId="446792BF" w:rsidR="00A46CEC" w:rsidRPr="006F3A5D" w:rsidRDefault="00A46CEC" w:rsidP="00A46CEC">
      <w:pPr>
        <w:spacing w:after="120" w:line="240" w:lineRule="auto"/>
        <w:jc w:val="both"/>
        <w:rPr>
          <w:rFonts w:ascii="Times New Roman" w:hAnsi="Times New Roman" w:cs="Times New Roman"/>
        </w:rPr>
      </w:pPr>
      <w:r w:rsidRPr="006F3A5D">
        <w:rPr>
          <w:rFonts w:ascii="Times New Roman" w:hAnsi="Times New Roman" w:cs="Times New Roman"/>
          <w:lang w:val="en-GB"/>
        </w:rPr>
        <w:t xml:space="preserve">In the next section of this </w:t>
      </w:r>
      <w:proofErr w:type="gramStart"/>
      <w:r w:rsidR="00394096">
        <w:rPr>
          <w:rFonts w:ascii="Times New Roman" w:hAnsi="Times New Roman" w:cs="Times New Roman"/>
          <w:lang w:val="en-GB"/>
        </w:rPr>
        <w:t>p</w:t>
      </w:r>
      <w:r w:rsidRPr="006F3A5D">
        <w:rPr>
          <w:rFonts w:ascii="Times New Roman" w:hAnsi="Times New Roman" w:cs="Times New Roman"/>
          <w:lang w:val="en-GB"/>
        </w:rPr>
        <w:t>aper</w:t>
      </w:r>
      <w:proofErr w:type="gramEnd"/>
      <w:r w:rsidRPr="006F3A5D">
        <w:rPr>
          <w:rFonts w:ascii="Times New Roman" w:hAnsi="Times New Roman" w:cs="Times New Roman"/>
          <w:lang w:val="en-GB"/>
        </w:rPr>
        <w:t xml:space="preserve"> I</w:t>
      </w:r>
      <w:r w:rsidR="00394096">
        <w:rPr>
          <w:rFonts w:ascii="Times New Roman" w:hAnsi="Times New Roman" w:cs="Times New Roman"/>
          <w:lang w:val="en-GB"/>
        </w:rPr>
        <w:t xml:space="preserve"> attempt to transform the key features of above analysis into</w:t>
      </w:r>
      <w:r w:rsidRPr="006F3A5D">
        <w:rPr>
          <w:rFonts w:ascii="Times New Roman" w:hAnsi="Times New Roman" w:cs="Times New Roman"/>
          <w:lang w:val="en-GB"/>
        </w:rPr>
        <w:t xml:space="preserve"> a </w:t>
      </w:r>
      <w:r w:rsidRPr="006F3A5D">
        <w:rPr>
          <w:rFonts w:ascii="Times New Roman" w:hAnsi="Times New Roman" w:cs="Times New Roman"/>
        </w:rPr>
        <w:t>‘toolkit’ or checklist for those involved in designing, implementing or evaluating engagement strategies within parliamentary settings.</w:t>
      </w:r>
      <w:r w:rsidR="00394096">
        <w:rPr>
          <w:rFonts w:ascii="Times New Roman" w:hAnsi="Times New Roman" w:cs="Times New Roman"/>
        </w:rPr>
        <w:t xml:space="preserve">  </w:t>
      </w:r>
      <w:r w:rsidRPr="006F3A5D">
        <w:rPr>
          <w:rFonts w:ascii="Times New Roman" w:hAnsi="Times New Roman" w:cs="Times New Roman"/>
        </w:rPr>
        <w:t xml:space="preserve">The toolkit comprises of two tables.  The first table sets out the preconditions for meaningful engagement within a parliamentary setting. These preconditions and ‘first step’ actions have been informed by the catalysts for change identified above.  They are designed to include actions that are within reach </w:t>
      </w:r>
      <w:r w:rsidRPr="006F3A5D">
        <w:rPr>
          <w:rFonts w:ascii="Times New Roman" w:hAnsi="Times New Roman" w:cs="Times New Roman"/>
          <w:i/>
          <w:iCs/>
        </w:rPr>
        <w:t>now</w:t>
      </w:r>
      <w:r w:rsidRPr="006F3A5D">
        <w:rPr>
          <w:rFonts w:ascii="Times New Roman" w:hAnsi="Times New Roman" w:cs="Times New Roman"/>
        </w:rPr>
        <w:t xml:space="preserve"> and have a direct impact on institutional capacity to improve the quality of engagement. </w:t>
      </w:r>
    </w:p>
    <w:p w14:paraId="20AE7CF3" w14:textId="21191AFC" w:rsidR="00A46CEC" w:rsidRPr="006F3A5D" w:rsidRDefault="00A46CEC" w:rsidP="00A46CEC">
      <w:pPr>
        <w:spacing w:after="120" w:line="240" w:lineRule="auto"/>
        <w:jc w:val="both"/>
        <w:rPr>
          <w:rFonts w:ascii="Times New Roman" w:hAnsi="Times New Roman" w:cs="Times New Roman"/>
        </w:rPr>
      </w:pPr>
      <w:r w:rsidRPr="006F3A5D">
        <w:rPr>
          <w:rFonts w:ascii="Times New Roman" w:hAnsi="Times New Roman" w:cs="Times New Roman"/>
        </w:rPr>
        <w:t>The second table is designed to assist with engagement planning and evaluation and draws from the indicators of ‘good’ public engagement identified in the IPEN toolkit, including: inclusivity; diversity of participation; empowering; flexible; meaningful; open and transparent and collaborative.  The second table also draws heavily on the work of the Leston</w:t>
      </w:r>
      <w:r w:rsidRPr="006F3A5D">
        <w:rPr>
          <w:rFonts w:ascii="Times New Roman" w:hAnsi="Times New Roman" w:cs="Times New Roman"/>
        </w:rPr>
        <w:noBreakHyphen/>
        <w:t>Bandeira (2022) who has identified ten factors to ensure effective public engagement which are reflected as success factors in the table below.</w:t>
      </w:r>
      <w:r w:rsidR="0050772B">
        <w:rPr>
          <w:rFonts w:ascii="Times New Roman" w:hAnsi="Times New Roman" w:cs="Times New Roman"/>
        </w:rPr>
        <w:t xml:space="preserve"> </w:t>
      </w:r>
      <w:r w:rsidRPr="006F3A5D">
        <w:rPr>
          <w:rFonts w:ascii="Times New Roman" w:hAnsi="Times New Roman" w:cs="Times New Roman"/>
        </w:rPr>
        <w:t>Like all toolkits or checklists, these tables should be thought of as a prompt, rather than a prescription, and as a work in progress that will benefit from ongoing critique and feedback from practitioners.</w:t>
      </w:r>
    </w:p>
    <w:p w14:paraId="7219BE47" w14:textId="7BBA418F" w:rsidR="00BB53CB" w:rsidRDefault="00BB53CB">
      <w:r>
        <w:br w:type="page"/>
      </w:r>
    </w:p>
    <w:p w14:paraId="1D150C69" w14:textId="77777777" w:rsidR="00D52585" w:rsidRDefault="00D52585" w:rsidP="002376DE">
      <w:pPr>
        <w:pStyle w:val="Heading3"/>
      </w:pPr>
      <w:r>
        <w:lastRenderedPageBreak/>
        <w:t>Table 1: Preconditions for Meaningful Engagement with Young People</w:t>
      </w:r>
    </w:p>
    <w:p w14:paraId="4B89EBB0" w14:textId="77777777" w:rsidR="00D52585" w:rsidRPr="00A353A3" w:rsidRDefault="00D52585" w:rsidP="00D52585">
      <w:pPr>
        <w:rPr>
          <w:b/>
          <w:bCs/>
          <w:sz w:val="20"/>
          <w:szCs w:val="20"/>
        </w:rPr>
      </w:pPr>
    </w:p>
    <w:tbl>
      <w:tblPr>
        <w:tblStyle w:val="GridTable3-Accent1"/>
        <w:tblW w:w="9067" w:type="dxa"/>
        <w:tblLook w:val="04A0" w:firstRow="1" w:lastRow="0" w:firstColumn="1" w:lastColumn="0" w:noHBand="0" w:noVBand="1"/>
      </w:tblPr>
      <w:tblGrid>
        <w:gridCol w:w="4678"/>
        <w:gridCol w:w="4389"/>
      </w:tblGrid>
      <w:tr w:rsidR="00D52585" w:rsidRPr="00A353A3" w14:paraId="4295847D" w14:textId="77777777" w:rsidTr="000D40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8" w:type="dxa"/>
          </w:tcPr>
          <w:p w14:paraId="0523AD16" w14:textId="77777777" w:rsidR="00D52585" w:rsidRPr="00A353A3" w:rsidRDefault="00D52585" w:rsidP="000D4020">
            <w:pPr>
              <w:jc w:val="left"/>
              <w:rPr>
                <w:rFonts w:ascii="Times New Roman" w:hAnsi="Times New Roman" w:cs="Times New Roman"/>
                <w:i w:val="0"/>
                <w:iCs w:val="0"/>
                <w:sz w:val="20"/>
                <w:szCs w:val="20"/>
              </w:rPr>
            </w:pPr>
            <w:r w:rsidRPr="00A353A3">
              <w:rPr>
                <w:rFonts w:ascii="Times New Roman" w:hAnsi="Times New Roman" w:cs="Times New Roman"/>
                <w:i w:val="0"/>
                <w:iCs w:val="0"/>
                <w:sz w:val="20"/>
                <w:szCs w:val="20"/>
              </w:rPr>
              <w:t xml:space="preserve">Precondition </w:t>
            </w:r>
          </w:p>
        </w:tc>
        <w:tc>
          <w:tcPr>
            <w:tcW w:w="4389" w:type="dxa"/>
          </w:tcPr>
          <w:p w14:paraId="44B3D8EB" w14:textId="77777777" w:rsidR="00D52585" w:rsidRPr="00A353A3" w:rsidRDefault="00D52585" w:rsidP="000D402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53A3">
              <w:rPr>
                <w:rFonts w:ascii="Times New Roman" w:hAnsi="Times New Roman" w:cs="Times New Roman"/>
                <w:sz w:val="20"/>
                <w:szCs w:val="20"/>
              </w:rPr>
              <w:t>‘First step’ actions</w:t>
            </w:r>
          </w:p>
        </w:tc>
      </w:tr>
      <w:tr w:rsidR="00D52585" w:rsidRPr="00414E31" w14:paraId="46055D08"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D08966F"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Senior leadership </w:t>
            </w:r>
            <w:proofErr w:type="spellStart"/>
            <w:r w:rsidRPr="00414E31">
              <w:rPr>
                <w:rFonts w:ascii="Times New Roman" w:hAnsi="Times New Roman" w:cs="Times New Roman"/>
                <w:b/>
                <w:bCs/>
                <w:sz w:val="20"/>
                <w:szCs w:val="20"/>
              </w:rPr>
              <w:t>recognise</w:t>
            </w:r>
            <w:r>
              <w:rPr>
                <w:rFonts w:ascii="Times New Roman" w:hAnsi="Times New Roman" w:cs="Times New Roman"/>
                <w:b/>
                <w:bCs/>
                <w:sz w:val="20"/>
                <w:szCs w:val="20"/>
              </w:rPr>
              <w:t>s</w:t>
            </w:r>
            <w:proofErr w:type="spellEnd"/>
            <w:r w:rsidRPr="00414E31">
              <w:rPr>
                <w:rFonts w:ascii="Times New Roman" w:hAnsi="Times New Roman" w:cs="Times New Roman"/>
                <w:b/>
                <w:bCs/>
                <w:sz w:val="20"/>
                <w:szCs w:val="20"/>
              </w:rPr>
              <w:t xml:space="preserve"> and value</w:t>
            </w:r>
            <w:r>
              <w:rPr>
                <w:rFonts w:ascii="Times New Roman" w:hAnsi="Times New Roman" w:cs="Times New Roman"/>
                <w:b/>
                <w:bCs/>
                <w:sz w:val="20"/>
                <w:szCs w:val="20"/>
              </w:rPr>
              <w:t>s</w:t>
            </w:r>
            <w:r w:rsidRPr="00414E31">
              <w:rPr>
                <w:rFonts w:ascii="Times New Roman" w:hAnsi="Times New Roman" w:cs="Times New Roman"/>
                <w:b/>
                <w:bCs/>
                <w:sz w:val="20"/>
                <w:szCs w:val="20"/>
              </w:rPr>
              <w:t xml:space="preserve"> public parliamentary engagement and commit</w:t>
            </w:r>
            <w:r>
              <w:rPr>
                <w:rFonts w:ascii="Times New Roman" w:hAnsi="Times New Roman" w:cs="Times New Roman"/>
                <w:b/>
                <w:bCs/>
                <w:sz w:val="20"/>
                <w:szCs w:val="20"/>
              </w:rPr>
              <w:t>s</w:t>
            </w:r>
            <w:r w:rsidRPr="00414E31">
              <w:rPr>
                <w:rFonts w:ascii="Times New Roman" w:hAnsi="Times New Roman" w:cs="Times New Roman"/>
                <w:b/>
                <w:bCs/>
                <w:sz w:val="20"/>
                <w:szCs w:val="20"/>
              </w:rPr>
              <w:t xml:space="preserve"> to improving the quality of engagement with young people  </w:t>
            </w:r>
          </w:p>
        </w:tc>
        <w:tc>
          <w:tcPr>
            <w:tcW w:w="4389" w:type="dxa"/>
          </w:tcPr>
          <w:p w14:paraId="4D801729"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Include public engagement as a core strategic goal in strategic planning documents and Key Performance Indicators</w:t>
            </w:r>
          </w:p>
        </w:tc>
      </w:tr>
      <w:tr w:rsidR="00D52585" w:rsidRPr="00414E31" w14:paraId="3974A532"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56CECD47" w14:textId="77777777" w:rsidR="00D52585" w:rsidRPr="00414E31" w:rsidRDefault="00D52585" w:rsidP="000D4020">
            <w:pPr>
              <w:rPr>
                <w:rFonts w:ascii="Times New Roman" w:hAnsi="Times New Roman" w:cs="Times New Roman"/>
                <w:b/>
                <w:bCs/>
                <w:sz w:val="20"/>
                <w:szCs w:val="20"/>
              </w:rPr>
            </w:pPr>
          </w:p>
        </w:tc>
        <w:tc>
          <w:tcPr>
            <w:tcW w:w="4389" w:type="dxa"/>
          </w:tcPr>
          <w:p w14:paraId="56A600AC"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Create specific targets for engaging with young people in all aspects of </w:t>
            </w:r>
            <w:r>
              <w:rPr>
                <w:rFonts w:ascii="Times New Roman" w:hAnsi="Times New Roman" w:cs="Times New Roman"/>
                <w:sz w:val="20"/>
                <w:szCs w:val="20"/>
              </w:rPr>
              <w:t xml:space="preserve">parliamentary </w:t>
            </w:r>
            <w:r w:rsidRPr="006954F3">
              <w:rPr>
                <w:rFonts w:ascii="Times New Roman" w:hAnsi="Times New Roman" w:cs="Times New Roman"/>
                <w:sz w:val="20"/>
                <w:szCs w:val="20"/>
              </w:rPr>
              <w:t>business (including recruitment, training, evaluation as well as democratic lawmaking or policy making functions)</w:t>
            </w:r>
          </w:p>
        </w:tc>
      </w:tr>
      <w:tr w:rsidR="00D52585" w:rsidRPr="00414E31" w14:paraId="717E9266"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4AF2396B" w14:textId="77777777" w:rsidR="00D52585" w:rsidRPr="00414E31" w:rsidRDefault="00D52585" w:rsidP="000D4020">
            <w:pPr>
              <w:rPr>
                <w:rFonts w:ascii="Times New Roman" w:hAnsi="Times New Roman" w:cs="Times New Roman"/>
                <w:b/>
                <w:bCs/>
                <w:sz w:val="20"/>
                <w:szCs w:val="20"/>
              </w:rPr>
            </w:pPr>
          </w:p>
        </w:tc>
        <w:tc>
          <w:tcPr>
            <w:tcW w:w="4389" w:type="dxa"/>
          </w:tcPr>
          <w:p w14:paraId="499197EF"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Develop institution-wide benchmarks and targets for improving the quality and diversity of public engagement</w:t>
            </w:r>
          </w:p>
        </w:tc>
      </w:tr>
      <w:tr w:rsidR="00D52585" w:rsidRPr="00414E31" w14:paraId="39DDEA64"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1FC34672" w14:textId="77777777" w:rsidR="00D52585" w:rsidRPr="00414E31" w:rsidRDefault="00D52585" w:rsidP="000D4020">
            <w:pPr>
              <w:rPr>
                <w:rFonts w:ascii="Times New Roman" w:hAnsi="Times New Roman" w:cs="Times New Roman"/>
                <w:b/>
                <w:bCs/>
                <w:sz w:val="20"/>
                <w:szCs w:val="20"/>
              </w:rPr>
            </w:pPr>
          </w:p>
        </w:tc>
        <w:tc>
          <w:tcPr>
            <w:tcW w:w="4389" w:type="dxa"/>
          </w:tcPr>
          <w:p w14:paraId="217252C4"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Evaluate existing outreach and education programs, and celebration of positive outcomes </w:t>
            </w:r>
          </w:p>
        </w:tc>
      </w:tr>
      <w:tr w:rsidR="00D52585" w:rsidRPr="00414E31" w14:paraId="32E1D01B"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175D938"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Positive institutional culture where staff feel valued and safe to explore new approaches to public engagement</w:t>
            </w:r>
          </w:p>
        </w:tc>
        <w:tc>
          <w:tcPr>
            <w:tcW w:w="4389" w:type="dxa"/>
          </w:tcPr>
          <w:p w14:paraId="711AF97B"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Pr="006954F3">
              <w:rPr>
                <w:rFonts w:ascii="Times New Roman" w:hAnsi="Times New Roman" w:cs="Times New Roman"/>
                <w:sz w:val="20"/>
                <w:szCs w:val="20"/>
              </w:rPr>
              <w:t>urvey existing staff to identify skills and strengths</w:t>
            </w:r>
          </w:p>
        </w:tc>
      </w:tr>
      <w:tr w:rsidR="00D52585" w:rsidRPr="00414E31" w14:paraId="4E4CBB65"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1BF96F5B" w14:textId="77777777" w:rsidR="00D52585" w:rsidRPr="00414E31" w:rsidRDefault="00D52585" w:rsidP="000D4020">
            <w:pPr>
              <w:jc w:val="left"/>
              <w:rPr>
                <w:rFonts w:ascii="Times New Roman" w:hAnsi="Times New Roman" w:cs="Times New Roman"/>
                <w:b/>
                <w:bCs/>
                <w:sz w:val="20"/>
                <w:szCs w:val="20"/>
              </w:rPr>
            </w:pPr>
          </w:p>
        </w:tc>
        <w:tc>
          <w:tcPr>
            <w:tcW w:w="4389" w:type="dxa"/>
          </w:tcPr>
          <w:p w14:paraId="4B31BDD7"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Co-design activities with existing staff to identify strategies that are working well, and barriers to meaningful engagement with </w:t>
            </w:r>
            <w:proofErr w:type="spellStart"/>
            <w:r w:rsidRPr="006954F3">
              <w:rPr>
                <w:rFonts w:ascii="Times New Roman" w:hAnsi="Times New Roman" w:cs="Times New Roman"/>
                <w:sz w:val="20"/>
                <w:szCs w:val="20"/>
              </w:rPr>
              <w:t>marginalised</w:t>
            </w:r>
            <w:proofErr w:type="spellEnd"/>
            <w:r w:rsidRPr="006954F3">
              <w:rPr>
                <w:rFonts w:ascii="Times New Roman" w:hAnsi="Times New Roman" w:cs="Times New Roman"/>
                <w:sz w:val="20"/>
                <w:szCs w:val="20"/>
              </w:rPr>
              <w:t xml:space="preserve"> groups</w:t>
            </w:r>
          </w:p>
        </w:tc>
      </w:tr>
      <w:tr w:rsidR="00D52585" w:rsidRPr="00414E31" w14:paraId="1B38385B"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0BDE6CF"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Appropriate skills and resources within the institution to design, implement and evaluate engagements </w:t>
            </w:r>
            <w:proofErr w:type="gramStart"/>
            <w:r w:rsidRPr="00414E31">
              <w:rPr>
                <w:rFonts w:ascii="Times New Roman" w:hAnsi="Times New Roman" w:cs="Times New Roman"/>
                <w:b/>
                <w:bCs/>
                <w:sz w:val="20"/>
                <w:szCs w:val="20"/>
              </w:rPr>
              <w:t>strategies</w:t>
            </w:r>
            <w:proofErr w:type="gramEnd"/>
            <w:r w:rsidRPr="00414E31">
              <w:rPr>
                <w:rFonts w:ascii="Times New Roman" w:hAnsi="Times New Roman" w:cs="Times New Roman"/>
                <w:b/>
                <w:bCs/>
                <w:sz w:val="20"/>
                <w:szCs w:val="20"/>
              </w:rPr>
              <w:t xml:space="preserve"> </w:t>
            </w:r>
          </w:p>
          <w:p w14:paraId="404C7A3A" w14:textId="77777777" w:rsidR="00D52585" w:rsidRPr="00414E31" w:rsidRDefault="00D52585" w:rsidP="000D4020">
            <w:pPr>
              <w:jc w:val="left"/>
              <w:rPr>
                <w:rFonts w:ascii="Times New Roman" w:hAnsi="Times New Roman" w:cs="Times New Roman"/>
                <w:b/>
                <w:bCs/>
                <w:i w:val="0"/>
                <w:iCs w:val="0"/>
                <w:sz w:val="20"/>
                <w:szCs w:val="20"/>
              </w:rPr>
            </w:pPr>
          </w:p>
        </w:tc>
        <w:tc>
          <w:tcPr>
            <w:tcW w:w="4389" w:type="dxa"/>
          </w:tcPr>
          <w:p w14:paraId="50F9D39E"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Audit existing resources and processes employed </w:t>
            </w:r>
            <w:r>
              <w:rPr>
                <w:rFonts w:ascii="Times New Roman" w:hAnsi="Times New Roman" w:cs="Times New Roman"/>
                <w:sz w:val="20"/>
                <w:szCs w:val="20"/>
              </w:rPr>
              <w:t xml:space="preserve">to build or support public </w:t>
            </w:r>
            <w:r w:rsidRPr="006954F3">
              <w:rPr>
                <w:rFonts w:ascii="Times New Roman" w:hAnsi="Times New Roman" w:cs="Times New Roman"/>
                <w:sz w:val="20"/>
                <w:szCs w:val="20"/>
              </w:rPr>
              <w:t>engagement.</w:t>
            </w:r>
          </w:p>
        </w:tc>
      </w:tr>
      <w:tr w:rsidR="00D52585" w:rsidRPr="00414E31" w14:paraId="77EB1629"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56D6BA5F" w14:textId="77777777" w:rsidR="00D52585" w:rsidRPr="00414E31" w:rsidRDefault="00D52585" w:rsidP="000D4020">
            <w:pPr>
              <w:jc w:val="left"/>
              <w:rPr>
                <w:rFonts w:ascii="Times New Roman" w:hAnsi="Times New Roman" w:cs="Times New Roman"/>
                <w:b/>
                <w:bCs/>
                <w:sz w:val="20"/>
                <w:szCs w:val="20"/>
              </w:rPr>
            </w:pPr>
          </w:p>
        </w:tc>
        <w:tc>
          <w:tcPr>
            <w:tcW w:w="4389" w:type="dxa"/>
          </w:tcPr>
          <w:p w14:paraId="06B8BB03"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Host workshops </w:t>
            </w:r>
            <w:r>
              <w:rPr>
                <w:rFonts w:ascii="Times New Roman" w:hAnsi="Times New Roman" w:cs="Times New Roman"/>
                <w:sz w:val="20"/>
                <w:szCs w:val="20"/>
              </w:rPr>
              <w:t xml:space="preserve">with participants from </w:t>
            </w:r>
            <w:r w:rsidRPr="006954F3">
              <w:rPr>
                <w:rFonts w:ascii="Times New Roman" w:hAnsi="Times New Roman" w:cs="Times New Roman"/>
                <w:sz w:val="20"/>
                <w:szCs w:val="20"/>
              </w:rPr>
              <w:t xml:space="preserve">inside and outside the institution to refine and consolidate existing engagement </w:t>
            </w:r>
            <w:r>
              <w:rPr>
                <w:rFonts w:ascii="Times New Roman" w:hAnsi="Times New Roman" w:cs="Times New Roman"/>
                <w:sz w:val="20"/>
                <w:szCs w:val="20"/>
              </w:rPr>
              <w:t>resources</w:t>
            </w:r>
            <w:r w:rsidRPr="006954F3">
              <w:rPr>
                <w:rFonts w:ascii="Times New Roman" w:hAnsi="Times New Roman" w:cs="Times New Roman"/>
                <w:sz w:val="20"/>
                <w:szCs w:val="20"/>
              </w:rPr>
              <w:t xml:space="preserve"> and strategies</w:t>
            </w:r>
          </w:p>
        </w:tc>
      </w:tr>
      <w:tr w:rsidR="00D52585" w:rsidRPr="00414E31" w14:paraId="038930CD"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0BE2C51"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Relationships of trust with </w:t>
            </w:r>
            <w:proofErr w:type="spellStart"/>
            <w:r w:rsidRPr="00414E31">
              <w:rPr>
                <w:rFonts w:ascii="Times New Roman" w:hAnsi="Times New Roman" w:cs="Times New Roman"/>
                <w:b/>
                <w:bCs/>
                <w:sz w:val="20"/>
                <w:szCs w:val="20"/>
              </w:rPr>
              <w:t>marginalised</w:t>
            </w:r>
            <w:proofErr w:type="spellEnd"/>
            <w:r w:rsidRPr="00414E31">
              <w:rPr>
                <w:rFonts w:ascii="Times New Roman" w:hAnsi="Times New Roman" w:cs="Times New Roman"/>
                <w:b/>
                <w:bCs/>
                <w:sz w:val="20"/>
                <w:szCs w:val="20"/>
              </w:rPr>
              <w:t xml:space="preserve"> or disconnected communities </w:t>
            </w:r>
          </w:p>
        </w:tc>
        <w:tc>
          <w:tcPr>
            <w:tcW w:w="4389" w:type="dxa"/>
          </w:tcPr>
          <w:p w14:paraId="6AB6D7FF"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Commission in-house research </w:t>
            </w:r>
            <w:r w:rsidRPr="006954F3">
              <w:rPr>
                <w:rFonts w:ascii="Times New Roman" w:hAnsi="Times New Roman" w:cs="Times New Roman"/>
                <w:sz w:val="20"/>
                <w:szCs w:val="20"/>
              </w:rPr>
              <w:t xml:space="preserve">to </w:t>
            </w:r>
            <w:r>
              <w:rPr>
                <w:rFonts w:ascii="Times New Roman" w:hAnsi="Times New Roman" w:cs="Times New Roman"/>
                <w:sz w:val="20"/>
                <w:szCs w:val="20"/>
              </w:rPr>
              <w:t xml:space="preserve">develop evidence-based profiles of those individuals and communities experiencing marginalization from parliamentary </w:t>
            </w:r>
            <w:r w:rsidRPr="006954F3">
              <w:rPr>
                <w:rFonts w:ascii="Times New Roman" w:hAnsi="Times New Roman" w:cs="Times New Roman"/>
                <w:sz w:val="20"/>
                <w:szCs w:val="20"/>
              </w:rPr>
              <w:t>processes and practices</w:t>
            </w:r>
          </w:p>
        </w:tc>
      </w:tr>
      <w:tr w:rsidR="00D52585" w:rsidRPr="00414E31" w14:paraId="098AA362"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4121CFCF" w14:textId="77777777" w:rsidR="00D52585" w:rsidRPr="00414E31" w:rsidRDefault="00D52585" w:rsidP="000D4020">
            <w:pPr>
              <w:rPr>
                <w:rFonts w:ascii="Times New Roman" w:hAnsi="Times New Roman" w:cs="Times New Roman"/>
                <w:b/>
                <w:bCs/>
                <w:sz w:val="20"/>
                <w:szCs w:val="20"/>
              </w:rPr>
            </w:pPr>
          </w:p>
        </w:tc>
        <w:tc>
          <w:tcPr>
            <w:tcW w:w="4389" w:type="dxa"/>
          </w:tcPr>
          <w:p w14:paraId="492E1FE6" w14:textId="77777777" w:rsidR="00D52585"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Identify and acknowledge existing </w:t>
            </w:r>
            <w:r w:rsidRPr="006954F3">
              <w:rPr>
                <w:rFonts w:ascii="Times New Roman" w:hAnsi="Times New Roman" w:cs="Times New Roman"/>
                <w:sz w:val="20"/>
                <w:szCs w:val="20"/>
              </w:rPr>
              <w:t xml:space="preserve">relationships with community </w:t>
            </w:r>
            <w:proofErr w:type="spellStart"/>
            <w:r w:rsidRPr="006954F3">
              <w:rPr>
                <w:rFonts w:ascii="Times New Roman" w:hAnsi="Times New Roman" w:cs="Times New Roman"/>
                <w:sz w:val="20"/>
                <w:szCs w:val="20"/>
              </w:rPr>
              <w:t>organisations</w:t>
            </w:r>
            <w:proofErr w:type="spellEnd"/>
            <w:r>
              <w:rPr>
                <w:rFonts w:ascii="Times New Roman" w:hAnsi="Times New Roman" w:cs="Times New Roman"/>
                <w:sz w:val="20"/>
                <w:szCs w:val="20"/>
              </w:rPr>
              <w:t xml:space="preserve"> </w:t>
            </w:r>
            <w:r w:rsidRPr="006954F3">
              <w:rPr>
                <w:rFonts w:ascii="Times New Roman" w:hAnsi="Times New Roman" w:cs="Times New Roman"/>
                <w:sz w:val="20"/>
                <w:szCs w:val="20"/>
              </w:rPr>
              <w:t>forged by education and outreach teams</w:t>
            </w:r>
          </w:p>
        </w:tc>
      </w:tr>
      <w:tr w:rsidR="00D52585" w:rsidRPr="00414E31" w14:paraId="68AEB220"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6AA9E80" w14:textId="77777777" w:rsidR="00D52585" w:rsidRPr="00414E31" w:rsidRDefault="00D52585" w:rsidP="000D4020">
            <w:pPr>
              <w:rPr>
                <w:rFonts w:ascii="Times New Roman" w:hAnsi="Times New Roman" w:cs="Times New Roman"/>
                <w:b/>
                <w:bCs/>
                <w:sz w:val="20"/>
                <w:szCs w:val="20"/>
              </w:rPr>
            </w:pPr>
          </w:p>
        </w:tc>
        <w:tc>
          <w:tcPr>
            <w:tcW w:w="4389" w:type="dxa"/>
          </w:tcPr>
          <w:p w14:paraId="7A8F5B4E"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Set targets for </w:t>
            </w:r>
            <w:r w:rsidRPr="006954F3">
              <w:rPr>
                <w:rFonts w:ascii="Times New Roman" w:hAnsi="Times New Roman" w:cs="Times New Roman"/>
                <w:sz w:val="20"/>
                <w:szCs w:val="20"/>
              </w:rPr>
              <w:t xml:space="preserve">building relationships with </w:t>
            </w:r>
            <w:proofErr w:type="spellStart"/>
            <w:r w:rsidRPr="006954F3">
              <w:rPr>
                <w:rFonts w:ascii="Times New Roman" w:hAnsi="Times New Roman" w:cs="Times New Roman"/>
                <w:sz w:val="20"/>
                <w:szCs w:val="20"/>
              </w:rPr>
              <w:t>marginalised</w:t>
            </w:r>
            <w:proofErr w:type="spellEnd"/>
            <w:r w:rsidRPr="006954F3">
              <w:rPr>
                <w:rFonts w:ascii="Times New Roman" w:hAnsi="Times New Roman" w:cs="Times New Roman"/>
                <w:sz w:val="20"/>
                <w:szCs w:val="20"/>
              </w:rPr>
              <w:t xml:space="preserve"> </w:t>
            </w:r>
            <w:r>
              <w:rPr>
                <w:rFonts w:ascii="Times New Roman" w:hAnsi="Times New Roman" w:cs="Times New Roman"/>
                <w:sz w:val="20"/>
                <w:szCs w:val="20"/>
              </w:rPr>
              <w:t xml:space="preserve">communities, including through the identification of </w:t>
            </w:r>
            <w:r w:rsidRPr="006954F3">
              <w:rPr>
                <w:rFonts w:ascii="Times New Roman" w:hAnsi="Times New Roman" w:cs="Times New Roman"/>
                <w:sz w:val="20"/>
                <w:szCs w:val="20"/>
              </w:rPr>
              <w:t xml:space="preserve">trusted bridge </w:t>
            </w:r>
            <w:proofErr w:type="spellStart"/>
            <w:r w:rsidRPr="006954F3">
              <w:rPr>
                <w:rFonts w:ascii="Times New Roman" w:hAnsi="Times New Roman" w:cs="Times New Roman"/>
                <w:sz w:val="20"/>
                <w:szCs w:val="20"/>
              </w:rPr>
              <w:t>organisations</w:t>
            </w:r>
            <w:proofErr w:type="spellEnd"/>
            <w:r w:rsidRPr="006954F3">
              <w:rPr>
                <w:rFonts w:ascii="Times New Roman" w:hAnsi="Times New Roman" w:cs="Times New Roman"/>
                <w:sz w:val="20"/>
                <w:szCs w:val="20"/>
              </w:rPr>
              <w:t xml:space="preserve"> or individuals.</w:t>
            </w:r>
          </w:p>
        </w:tc>
      </w:tr>
      <w:tr w:rsidR="00D52585" w:rsidRPr="00414E31" w14:paraId="6F9CB4FF"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10F459F5" w14:textId="77777777" w:rsidR="00D52585" w:rsidRPr="00414E31" w:rsidRDefault="00D52585" w:rsidP="000D4020">
            <w:pPr>
              <w:rPr>
                <w:rFonts w:ascii="Times New Roman" w:hAnsi="Times New Roman" w:cs="Times New Roman"/>
                <w:b/>
                <w:bCs/>
                <w:sz w:val="20"/>
                <w:szCs w:val="20"/>
              </w:rPr>
            </w:pPr>
          </w:p>
        </w:tc>
        <w:tc>
          <w:tcPr>
            <w:tcW w:w="4389" w:type="dxa"/>
          </w:tcPr>
          <w:p w14:paraId="092BC7CD"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Allocate </w:t>
            </w:r>
            <w:r w:rsidRPr="006954F3">
              <w:rPr>
                <w:rFonts w:ascii="Times New Roman" w:hAnsi="Times New Roman" w:cs="Times New Roman"/>
                <w:sz w:val="20"/>
                <w:szCs w:val="20"/>
              </w:rPr>
              <w:t xml:space="preserve">human and other resources to developing and sustaining relationships with </w:t>
            </w:r>
            <w:proofErr w:type="spellStart"/>
            <w:r w:rsidRPr="006954F3">
              <w:rPr>
                <w:rFonts w:ascii="Times New Roman" w:hAnsi="Times New Roman" w:cs="Times New Roman"/>
                <w:sz w:val="20"/>
                <w:szCs w:val="20"/>
              </w:rPr>
              <w:t>marginalised</w:t>
            </w:r>
            <w:proofErr w:type="spellEnd"/>
            <w:r w:rsidRPr="006954F3">
              <w:rPr>
                <w:rFonts w:ascii="Times New Roman" w:hAnsi="Times New Roman" w:cs="Times New Roman"/>
                <w:sz w:val="20"/>
                <w:szCs w:val="20"/>
              </w:rPr>
              <w:t xml:space="preserve"> </w:t>
            </w:r>
            <w:r>
              <w:rPr>
                <w:rFonts w:ascii="Times New Roman" w:hAnsi="Times New Roman" w:cs="Times New Roman"/>
                <w:sz w:val="20"/>
                <w:szCs w:val="20"/>
              </w:rPr>
              <w:t>communities</w:t>
            </w:r>
          </w:p>
        </w:tc>
      </w:tr>
      <w:tr w:rsidR="00D52585" w:rsidRPr="00414E31" w14:paraId="4BB38113"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69D89D4F"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Understanding of self-determined approaches to engagement by Aboriginal </w:t>
            </w:r>
            <w:r>
              <w:rPr>
                <w:rFonts w:ascii="Times New Roman" w:hAnsi="Times New Roman" w:cs="Times New Roman"/>
                <w:b/>
                <w:bCs/>
                <w:sz w:val="20"/>
                <w:szCs w:val="20"/>
              </w:rPr>
              <w:t>peoples</w:t>
            </w:r>
          </w:p>
        </w:tc>
        <w:tc>
          <w:tcPr>
            <w:tcW w:w="4389" w:type="dxa"/>
          </w:tcPr>
          <w:p w14:paraId="3617D783"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Audit institutional capacity to understand and access Aboriginal concepts of parliamentary engagement</w:t>
            </w:r>
          </w:p>
        </w:tc>
      </w:tr>
      <w:tr w:rsidR="00D52585" w:rsidRPr="00414E31" w14:paraId="16E9D1F7"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406B907E" w14:textId="77777777" w:rsidR="00D52585" w:rsidRPr="00414E31" w:rsidRDefault="00D52585" w:rsidP="000D4020">
            <w:pPr>
              <w:rPr>
                <w:rFonts w:ascii="Times New Roman" w:hAnsi="Times New Roman" w:cs="Times New Roman"/>
                <w:b/>
                <w:bCs/>
                <w:sz w:val="20"/>
                <w:szCs w:val="20"/>
              </w:rPr>
            </w:pPr>
          </w:p>
        </w:tc>
        <w:tc>
          <w:tcPr>
            <w:tcW w:w="4389" w:type="dxa"/>
          </w:tcPr>
          <w:p w14:paraId="7992FC66"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Develop benchmarks and targets with respect to increasing institutional knowledge of Aboriginal concepts of parliamentary engagement in consultation with </w:t>
            </w:r>
            <w:r>
              <w:rPr>
                <w:rFonts w:ascii="Times New Roman" w:hAnsi="Times New Roman" w:cs="Times New Roman"/>
                <w:sz w:val="20"/>
                <w:szCs w:val="20"/>
              </w:rPr>
              <w:t xml:space="preserve">existing treaty bodies or Voice forums </w:t>
            </w:r>
          </w:p>
        </w:tc>
      </w:tr>
      <w:tr w:rsidR="00D52585" w:rsidRPr="00414E31" w14:paraId="31E896DC"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3289C6A"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lastRenderedPageBreak/>
              <w:t xml:space="preserve">Experience </w:t>
            </w:r>
            <w:proofErr w:type="spellStart"/>
            <w:r w:rsidRPr="00414E31">
              <w:rPr>
                <w:rFonts w:ascii="Times New Roman" w:hAnsi="Times New Roman" w:cs="Times New Roman"/>
                <w:b/>
                <w:bCs/>
                <w:sz w:val="20"/>
                <w:szCs w:val="20"/>
              </w:rPr>
              <w:t>utilising</w:t>
            </w:r>
            <w:proofErr w:type="spellEnd"/>
            <w:r w:rsidRPr="00414E31">
              <w:rPr>
                <w:rFonts w:ascii="Times New Roman" w:hAnsi="Times New Roman" w:cs="Times New Roman"/>
                <w:b/>
                <w:bCs/>
                <w:sz w:val="20"/>
                <w:szCs w:val="20"/>
              </w:rPr>
              <w:t xml:space="preserve"> human rights concepts and principles</w:t>
            </w:r>
          </w:p>
        </w:tc>
        <w:tc>
          <w:tcPr>
            <w:tcW w:w="4389" w:type="dxa"/>
          </w:tcPr>
          <w:p w14:paraId="68056460" w14:textId="77777777" w:rsidR="00D52585" w:rsidRPr="006954F3" w:rsidRDefault="00D52585" w:rsidP="000D4020">
            <w:pPr>
              <w:tabs>
                <w:tab w:val="right" w:pos="2897"/>
              </w:tabs>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Audit existing processes, </w:t>
            </w:r>
            <w:proofErr w:type="gramStart"/>
            <w:r w:rsidRPr="006954F3">
              <w:rPr>
                <w:rFonts w:ascii="Times New Roman" w:hAnsi="Times New Roman" w:cs="Times New Roman"/>
                <w:sz w:val="20"/>
                <w:szCs w:val="20"/>
              </w:rPr>
              <w:t>practices</w:t>
            </w:r>
            <w:proofErr w:type="gramEnd"/>
            <w:r w:rsidRPr="006954F3">
              <w:rPr>
                <w:rFonts w:ascii="Times New Roman" w:hAnsi="Times New Roman" w:cs="Times New Roman"/>
                <w:sz w:val="20"/>
                <w:szCs w:val="20"/>
              </w:rPr>
              <w:t xml:space="preserve"> and skills to identify </w:t>
            </w:r>
            <w:r>
              <w:rPr>
                <w:rFonts w:ascii="Times New Roman" w:hAnsi="Times New Roman" w:cs="Times New Roman"/>
                <w:sz w:val="20"/>
                <w:szCs w:val="20"/>
              </w:rPr>
              <w:t xml:space="preserve">level of </w:t>
            </w:r>
            <w:r w:rsidRPr="006954F3">
              <w:rPr>
                <w:rFonts w:ascii="Times New Roman" w:hAnsi="Times New Roman" w:cs="Times New Roman"/>
                <w:sz w:val="20"/>
                <w:szCs w:val="20"/>
              </w:rPr>
              <w:t>familiarity with or incorporation of human rights concepts and principles</w:t>
            </w:r>
          </w:p>
        </w:tc>
      </w:tr>
      <w:tr w:rsidR="00D52585" w:rsidRPr="00414E31" w14:paraId="6A0DB7CD"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42F0438C" w14:textId="77777777" w:rsidR="00D52585" w:rsidRPr="00414E31" w:rsidRDefault="00D52585" w:rsidP="000D4020">
            <w:pPr>
              <w:rPr>
                <w:rFonts w:ascii="Times New Roman" w:hAnsi="Times New Roman" w:cs="Times New Roman"/>
                <w:b/>
                <w:bCs/>
                <w:sz w:val="20"/>
                <w:szCs w:val="20"/>
              </w:rPr>
            </w:pPr>
          </w:p>
        </w:tc>
        <w:tc>
          <w:tcPr>
            <w:tcW w:w="4389" w:type="dxa"/>
          </w:tcPr>
          <w:p w14:paraId="165C3298"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Develo</w:t>
            </w:r>
            <w:r>
              <w:rPr>
                <w:rFonts w:ascii="Times New Roman" w:hAnsi="Times New Roman" w:cs="Times New Roman"/>
                <w:sz w:val="20"/>
                <w:szCs w:val="20"/>
              </w:rPr>
              <w:t>p</w:t>
            </w:r>
            <w:r w:rsidRPr="006954F3">
              <w:rPr>
                <w:rFonts w:ascii="Times New Roman" w:hAnsi="Times New Roman" w:cs="Times New Roman"/>
                <w:sz w:val="20"/>
                <w:szCs w:val="20"/>
              </w:rPr>
              <w:t xml:space="preserve"> benchmarks and targets with respect to increasing institutional knowledge of how to integrate human rights concepts and principles with</w:t>
            </w:r>
            <w:r>
              <w:rPr>
                <w:rFonts w:ascii="Times New Roman" w:hAnsi="Times New Roman" w:cs="Times New Roman"/>
                <w:sz w:val="20"/>
                <w:szCs w:val="20"/>
              </w:rPr>
              <w:t>in</w:t>
            </w:r>
            <w:r w:rsidRPr="006954F3">
              <w:rPr>
                <w:rFonts w:ascii="Times New Roman" w:hAnsi="Times New Roman" w:cs="Times New Roman"/>
                <w:sz w:val="20"/>
                <w:szCs w:val="20"/>
              </w:rPr>
              <w:t xml:space="preserve"> </w:t>
            </w:r>
            <w:r>
              <w:rPr>
                <w:rFonts w:ascii="Times New Roman" w:hAnsi="Times New Roman" w:cs="Times New Roman"/>
                <w:sz w:val="20"/>
                <w:szCs w:val="20"/>
              </w:rPr>
              <w:t xml:space="preserve">parliamentary processes </w:t>
            </w:r>
            <w:r w:rsidRPr="006954F3">
              <w:rPr>
                <w:rFonts w:ascii="Times New Roman" w:hAnsi="Times New Roman" w:cs="Times New Roman"/>
                <w:sz w:val="20"/>
                <w:szCs w:val="20"/>
              </w:rPr>
              <w:t>and practices</w:t>
            </w:r>
          </w:p>
        </w:tc>
      </w:tr>
      <w:tr w:rsidR="00D52585" w:rsidRPr="00414E31" w14:paraId="70D666C8"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B51115C" w14:textId="77777777" w:rsidR="00D52585" w:rsidRPr="00414E31" w:rsidRDefault="00D52585" w:rsidP="000D4020">
            <w:pPr>
              <w:rPr>
                <w:rFonts w:ascii="Times New Roman" w:hAnsi="Times New Roman" w:cs="Times New Roman"/>
                <w:b/>
                <w:bCs/>
                <w:sz w:val="20"/>
                <w:szCs w:val="20"/>
              </w:rPr>
            </w:pPr>
          </w:p>
        </w:tc>
        <w:tc>
          <w:tcPr>
            <w:tcW w:w="4389" w:type="dxa"/>
          </w:tcPr>
          <w:p w14:paraId="6013C0C0"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Exchange experiences between staff of different institutions to build peer support for integration of human rights concepts and principles with </w:t>
            </w:r>
            <w:r>
              <w:rPr>
                <w:rFonts w:ascii="Times New Roman" w:hAnsi="Times New Roman" w:cs="Times New Roman"/>
                <w:sz w:val="20"/>
                <w:szCs w:val="20"/>
              </w:rPr>
              <w:t>parliamentary</w:t>
            </w:r>
            <w:r w:rsidRPr="006954F3">
              <w:rPr>
                <w:rFonts w:ascii="Times New Roman" w:hAnsi="Times New Roman" w:cs="Times New Roman"/>
                <w:sz w:val="20"/>
                <w:szCs w:val="20"/>
              </w:rPr>
              <w:t xml:space="preserve"> processes and practices</w:t>
            </w:r>
          </w:p>
        </w:tc>
      </w:tr>
      <w:tr w:rsidR="00D52585" w:rsidRPr="00414E31" w14:paraId="1F23E4D5"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6C31E91C"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Access to comprehensive and current data about the lives of young people</w:t>
            </w:r>
          </w:p>
        </w:tc>
        <w:tc>
          <w:tcPr>
            <w:tcW w:w="4389" w:type="dxa"/>
          </w:tcPr>
          <w:p w14:paraId="51C8CB16"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6954F3">
              <w:rPr>
                <w:rFonts w:ascii="Times New Roman" w:hAnsi="Times New Roman" w:cs="Times New Roman"/>
                <w:sz w:val="20"/>
                <w:szCs w:val="20"/>
              </w:rPr>
              <w:t>Utilise</w:t>
            </w:r>
            <w:proofErr w:type="spellEnd"/>
            <w:r w:rsidRPr="006954F3">
              <w:rPr>
                <w:rFonts w:ascii="Times New Roman" w:hAnsi="Times New Roman" w:cs="Times New Roman"/>
                <w:sz w:val="20"/>
                <w:szCs w:val="20"/>
              </w:rPr>
              <w:t xml:space="preserve"> existing education and outreach programs to identify relevant information shared about the lives of young people, and their priorities or preferences with respect to</w:t>
            </w:r>
            <w:r>
              <w:rPr>
                <w:rFonts w:ascii="Times New Roman" w:hAnsi="Times New Roman" w:cs="Times New Roman"/>
                <w:sz w:val="20"/>
                <w:szCs w:val="20"/>
              </w:rPr>
              <w:t xml:space="preserve"> different forms of</w:t>
            </w:r>
            <w:r w:rsidRPr="006954F3">
              <w:rPr>
                <w:rFonts w:ascii="Times New Roman" w:hAnsi="Times New Roman" w:cs="Times New Roman"/>
                <w:sz w:val="20"/>
                <w:szCs w:val="20"/>
              </w:rPr>
              <w:t xml:space="preserve"> </w:t>
            </w:r>
            <w:r>
              <w:rPr>
                <w:rFonts w:ascii="Times New Roman" w:hAnsi="Times New Roman" w:cs="Times New Roman"/>
                <w:sz w:val="20"/>
                <w:szCs w:val="20"/>
              </w:rPr>
              <w:t>parliamentary</w:t>
            </w:r>
            <w:r w:rsidRPr="006954F3">
              <w:rPr>
                <w:rFonts w:ascii="Times New Roman" w:hAnsi="Times New Roman" w:cs="Times New Roman"/>
                <w:sz w:val="20"/>
                <w:szCs w:val="20"/>
              </w:rPr>
              <w:t xml:space="preserve"> engagement</w:t>
            </w:r>
          </w:p>
        </w:tc>
      </w:tr>
      <w:tr w:rsidR="00D52585" w:rsidRPr="00414E31" w14:paraId="14361BC3"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F0E910D" w14:textId="77777777" w:rsidR="00D52585" w:rsidRPr="00414E31" w:rsidRDefault="00D52585" w:rsidP="000D4020">
            <w:pPr>
              <w:rPr>
                <w:rFonts w:ascii="Times New Roman" w:hAnsi="Times New Roman" w:cs="Times New Roman"/>
                <w:b/>
                <w:bCs/>
                <w:sz w:val="20"/>
                <w:szCs w:val="20"/>
              </w:rPr>
            </w:pPr>
          </w:p>
        </w:tc>
        <w:tc>
          <w:tcPr>
            <w:tcW w:w="4389" w:type="dxa"/>
          </w:tcPr>
          <w:p w14:paraId="2CDF791D"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Partner with existing youth councils and/or children’s commissioners to consolidate data about the lives of young people within the jurisdiction</w:t>
            </w:r>
          </w:p>
        </w:tc>
      </w:tr>
      <w:tr w:rsidR="00D52585" w:rsidRPr="00414E31" w14:paraId="7EEA7131"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7AD3D397" w14:textId="77777777" w:rsidR="00D52585" w:rsidRPr="00414E31" w:rsidRDefault="00D52585" w:rsidP="000D4020">
            <w:pPr>
              <w:rPr>
                <w:rFonts w:ascii="Times New Roman" w:hAnsi="Times New Roman" w:cs="Times New Roman"/>
                <w:b/>
                <w:bCs/>
                <w:sz w:val="20"/>
                <w:szCs w:val="20"/>
              </w:rPr>
            </w:pPr>
          </w:p>
        </w:tc>
        <w:tc>
          <w:tcPr>
            <w:tcW w:w="4389" w:type="dxa"/>
          </w:tcPr>
          <w:p w14:paraId="2B693A33"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Partner with research institutions to undertake further qualitative research to address gaps in existing data and/or to create accessible profiles of young people across electoral constituencies </w:t>
            </w:r>
          </w:p>
        </w:tc>
      </w:tr>
      <w:tr w:rsidR="00D52585" w:rsidRPr="00414E31" w14:paraId="1B08E8D5"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3056DA0"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Access to youth leaders and youth co-design partners from with </w:t>
            </w:r>
            <w:proofErr w:type="spellStart"/>
            <w:r w:rsidRPr="00414E31">
              <w:rPr>
                <w:rFonts w:ascii="Times New Roman" w:hAnsi="Times New Roman" w:cs="Times New Roman"/>
                <w:b/>
                <w:bCs/>
                <w:sz w:val="20"/>
                <w:szCs w:val="20"/>
              </w:rPr>
              <w:t>marginalised</w:t>
            </w:r>
            <w:proofErr w:type="spellEnd"/>
            <w:r w:rsidRPr="00414E31">
              <w:rPr>
                <w:rFonts w:ascii="Times New Roman" w:hAnsi="Times New Roman" w:cs="Times New Roman"/>
                <w:b/>
                <w:bCs/>
                <w:sz w:val="20"/>
                <w:szCs w:val="20"/>
              </w:rPr>
              <w:t xml:space="preserve"> or disconnected communities</w:t>
            </w:r>
          </w:p>
        </w:tc>
        <w:tc>
          <w:tcPr>
            <w:tcW w:w="4389" w:type="dxa"/>
          </w:tcPr>
          <w:p w14:paraId="024B3A51" w14:textId="77777777" w:rsidR="00D52585" w:rsidRPr="006954F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Partner with existing youth councils and/or children’s commissioners to identify youth leaders and youth-led </w:t>
            </w:r>
            <w:proofErr w:type="spellStart"/>
            <w:r w:rsidRPr="006954F3">
              <w:rPr>
                <w:rFonts w:ascii="Times New Roman" w:hAnsi="Times New Roman" w:cs="Times New Roman"/>
                <w:sz w:val="20"/>
                <w:szCs w:val="20"/>
              </w:rPr>
              <w:t>organisations</w:t>
            </w:r>
            <w:proofErr w:type="spellEnd"/>
            <w:r w:rsidRPr="006954F3">
              <w:rPr>
                <w:rFonts w:ascii="Times New Roman" w:hAnsi="Times New Roman" w:cs="Times New Roman"/>
                <w:sz w:val="20"/>
                <w:szCs w:val="20"/>
              </w:rPr>
              <w:t xml:space="preserve"> within the jurisdiction</w:t>
            </w:r>
          </w:p>
        </w:tc>
      </w:tr>
      <w:tr w:rsidR="00D52585" w:rsidRPr="00414E31" w14:paraId="51F2FBBF"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3FD8EEB8" w14:textId="77777777" w:rsidR="00D52585" w:rsidRPr="00414E31" w:rsidRDefault="00D52585" w:rsidP="000D4020">
            <w:pPr>
              <w:rPr>
                <w:rFonts w:ascii="Times New Roman" w:hAnsi="Times New Roman" w:cs="Times New Roman"/>
                <w:b/>
                <w:bCs/>
                <w:sz w:val="20"/>
                <w:szCs w:val="20"/>
              </w:rPr>
            </w:pPr>
          </w:p>
        </w:tc>
        <w:tc>
          <w:tcPr>
            <w:tcW w:w="4389" w:type="dxa"/>
          </w:tcPr>
          <w:p w14:paraId="004AD5A6"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Establish ‘upward mentoring’ opportunities within the institution, pairing youth leaders with senior parliamentary staff.</w:t>
            </w:r>
          </w:p>
        </w:tc>
      </w:tr>
      <w:tr w:rsidR="00D52585" w:rsidRPr="00414E31" w14:paraId="14E14DB0"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71B0C24D" w14:textId="77777777" w:rsidR="00D52585" w:rsidRPr="00414E31" w:rsidRDefault="00D52585" w:rsidP="000D4020">
            <w:pPr>
              <w:rPr>
                <w:rFonts w:ascii="Times New Roman" w:hAnsi="Times New Roman" w:cs="Times New Roman"/>
                <w:b/>
                <w:bCs/>
                <w:sz w:val="20"/>
                <w:szCs w:val="20"/>
              </w:rPr>
            </w:pPr>
          </w:p>
        </w:tc>
        <w:tc>
          <w:tcPr>
            <w:tcW w:w="4389" w:type="dxa"/>
          </w:tcPr>
          <w:p w14:paraId="251AEC20" w14:textId="77777777" w:rsidR="00D52585" w:rsidRPr="006954F3" w:rsidRDefault="00D52585" w:rsidP="000D4020">
            <w:pPr>
              <w:tabs>
                <w:tab w:val="right" w:pos="2897"/>
              </w:tabs>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Co-design forums or workshops with young leaders to identify strengths within existing outreach and education programs, and document areas in need of further investment or innovation</w:t>
            </w:r>
          </w:p>
        </w:tc>
      </w:tr>
      <w:tr w:rsidR="00D52585" w:rsidRPr="00414E31" w14:paraId="551B6565"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226E060C"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Capacity to identify or support policy and legislative priorities that address intergenerational inequality </w:t>
            </w:r>
          </w:p>
        </w:tc>
        <w:tc>
          <w:tcPr>
            <w:tcW w:w="4389" w:type="dxa"/>
          </w:tcPr>
          <w:p w14:paraId="71EABB2B" w14:textId="77777777" w:rsidR="00D52585" w:rsidRPr="006954F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 xml:space="preserve">Partner with research </w:t>
            </w:r>
            <w:proofErr w:type="spellStart"/>
            <w:r w:rsidRPr="006954F3">
              <w:rPr>
                <w:rFonts w:ascii="Times New Roman" w:hAnsi="Times New Roman" w:cs="Times New Roman"/>
                <w:sz w:val="20"/>
                <w:szCs w:val="20"/>
              </w:rPr>
              <w:t>organisations</w:t>
            </w:r>
            <w:proofErr w:type="spellEnd"/>
            <w:r w:rsidRPr="006954F3">
              <w:rPr>
                <w:rFonts w:ascii="Times New Roman" w:hAnsi="Times New Roman" w:cs="Times New Roman"/>
                <w:sz w:val="20"/>
                <w:szCs w:val="20"/>
              </w:rPr>
              <w:t xml:space="preserve"> or existing youth representative council or bodies to identify </w:t>
            </w:r>
            <w:r>
              <w:rPr>
                <w:rFonts w:ascii="Times New Roman" w:hAnsi="Times New Roman" w:cs="Times New Roman"/>
                <w:sz w:val="20"/>
                <w:szCs w:val="20"/>
              </w:rPr>
              <w:t xml:space="preserve">key issues or factors contributing </w:t>
            </w:r>
            <w:r w:rsidRPr="006954F3">
              <w:rPr>
                <w:rFonts w:ascii="Times New Roman" w:hAnsi="Times New Roman" w:cs="Times New Roman"/>
                <w:sz w:val="20"/>
                <w:szCs w:val="20"/>
              </w:rPr>
              <w:t xml:space="preserve">to intergenerational inequality </w:t>
            </w:r>
            <w:r>
              <w:rPr>
                <w:rFonts w:ascii="Times New Roman" w:hAnsi="Times New Roman" w:cs="Times New Roman"/>
                <w:sz w:val="20"/>
                <w:szCs w:val="20"/>
              </w:rPr>
              <w:t xml:space="preserve">and/or other experiences of </w:t>
            </w:r>
            <w:proofErr w:type="spellStart"/>
            <w:r>
              <w:rPr>
                <w:rFonts w:ascii="Times New Roman" w:hAnsi="Times New Roman" w:cs="Times New Roman"/>
                <w:sz w:val="20"/>
                <w:szCs w:val="20"/>
              </w:rPr>
              <w:t>marginalisation</w:t>
            </w:r>
            <w:proofErr w:type="spellEnd"/>
            <w:r>
              <w:rPr>
                <w:rFonts w:ascii="Times New Roman" w:hAnsi="Times New Roman" w:cs="Times New Roman"/>
                <w:sz w:val="20"/>
                <w:szCs w:val="20"/>
              </w:rPr>
              <w:t xml:space="preserve"> among young people</w:t>
            </w:r>
          </w:p>
        </w:tc>
      </w:tr>
      <w:tr w:rsidR="00D52585" w:rsidRPr="00414E31" w14:paraId="5E731417"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170DA870" w14:textId="77777777" w:rsidR="00D52585" w:rsidRPr="00414E31" w:rsidRDefault="00D52585" w:rsidP="000D4020">
            <w:pPr>
              <w:rPr>
                <w:rFonts w:ascii="Times New Roman" w:hAnsi="Times New Roman" w:cs="Times New Roman"/>
                <w:b/>
                <w:bCs/>
                <w:sz w:val="20"/>
                <w:szCs w:val="20"/>
              </w:rPr>
            </w:pPr>
          </w:p>
        </w:tc>
        <w:tc>
          <w:tcPr>
            <w:tcW w:w="4389" w:type="dxa"/>
          </w:tcPr>
          <w:p w14:paraId="020394E0" w14:textId="77777777" w:rsidR="00D52585" w:rsidRPr="006954F3" w:rsidRDefault="00D52585" w:rsidP="000D4020">
            <w:pPr>
              <w:tabs>
                <w:tab w:val="right" w:pos="2897"/>
              </w:tabs>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Consider opportunities to</w:t>
            </w:r>
            <w:r>
              <w:rPr>
                <w:rFonts w:ascii="Times New Roman" w:hAnsi="Times New Roman" w:cs="Times New Roman"/>
                <w:sz w:val="20"/>
                <w:szCs w:val="20"/>
              </w:rPr>
              <w:t xml:space="preserve"> orientate </w:t>
            </w:r>
            <w:r w:rsidRPr="006954F3">
              <w:rPr>
                <w:rFonts w:ascii="Times New Roman" w:hAnsi="Times New Roman" w:cs="Times New Roman"/>
                <w:sz w:val="20"/>
                <w:szCs w:val="20"/>
              </w:rPr>
              <w:t>existing outreach and education programs</w:t>
            </w:r>
            <w:r>
              <w:rPr>
                <w:rFonts w:ascii="Times New Roman" w:hAnsi="Times New Roman" w:cs="Times New Roman"/>
                <w:sz w:val="20"/>
                <w:szCs w:val="20"/>
              </w:rPr>
              <w:t xml:space="preserve">, activities and </w:t>
            </w:r>
            <w:r w:rsidRPr="006954F3">
              <w:rPr>
                <w:rFonts w:ascii="Times New Roman" w:hAnsi="Times New Roman" w:cs="Times New Roman"/>
                <w:sz w:val="20"/>
                <w:szCs w:val="20"/>
              </w:rPr>
              <w:t xml:space="preserve">events </w:t>
            </w:r>
            <w:r>
              <w:rPr>
                <w:rFonts w:ascii="Times New Roman" w:hAnsi="Times New Roman" w:cs="Times New Roman"/>
                <w:sz w:val="20"/>
                <w:szCs w:val="20"/>
              </w:rPr>
              <w:t xml:space="preserve">around the policy issues or priorities identified as important by young people, with a particular focus on those issues of most pressing concern to </w:t>
            </w:r>
            <w:proofErr w:type="spellStart"/>
            <w:r>
              <w:rPr>
                <w:rFonts w:ascii="Times New Roman" w:hAnsi="Times New Roman" w:cs="Times New Roman"/>
                <w:sz w:val="20"/>
                <w:szCs w:val="20"/>
              </w:rPr>
              <w:t>marginalised</w:t>
            </w:r>
            <w:proofErr w:type="spellEnd"/>
            <w:r>
              <w:rPr>
                <w:rFonts w:ascii="Times New Roman" w:hAnsi="Times New Roman" w:cs="Times New Roman"/>
                <w:sz w:val="20"/>
                <w:szCs w:val="20"/>
              </w:rPr>
              <w:t xml:space="preserve"> communities</w:t>
            </w:r>
          </w:p>
        </w:tc>
      </w:tr>
      <w:tr w:rsidR="00D52585" w:rsidRPr="00414E31" w14:paraId="032E2EB9" w14:textId="77777777" w:rsidTr="000D4020">
        <w:tc>
          <w:tcPr>
            <w:cnfStyle w:val="001000000000" w:firstRow="0" w:lastRow="0" w:firstColumn="1" w:lastColumn="0" w:oddVBand="0" w:evenVBand="0" w:oddHBand="0" w:evenHBand="0" w:firstRowFirstColumn="0" w:firstRowLastColumn="0" w:lastRowFirstColumn="0" w:lastRowLastColumn="0"/>
            <w:tcW w:w="4678" w:type="dxa"/>
          </w:tcPr>
          <w:p w14:paraId="7FD69178" w14:textId="77777777" w:rsidR="00D52585" w:rsidRPr="00414E31" w:rsidRDefault="00D52585" w:rsidP="000D4020">
            <w:pPr>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Institutional safeguards to protect against corruption, </w:t>
            </w:r>
            <w:proofErr w:type="gramStart"/>
            <w:r w:rsidRPr="00414E31">
              <w:rPr>
                <w:rFonts w:ascii="Times New Roman" w:hAnsi="Times New Roman" w:cs="Times New Roman"/>
                <w:b/>
                <w:bCs/>
                <w:sz w:val="20"/>
                <w:szCs w:val="20"/>
              </w:rPr>
              <w:t>misfeasance</w:t>
            </w:r>
            <w:proofErr w:type="gramEnd"/>
            <w:r w:rsidRPr="00414E31">
              <w:rPr>
                <w:rFonts w:ascii="Times New Roman" w:hAnsi="Times New Roman" w:cs="Times New Roman"/>
                <w:b/>
                <w:bCs/>
                <w:sz w:val="20"/>
                <w:szCs w:val="20"/>
              </w:rPr>
              <w:t xml:space="preserve"> or inappropriate conduct</w:t>
            </w:r>
          </w:p>
        </w:tc>
        <w:tc>
          <w:tcPr>
            <w:tcW w:w="4389" w:type="dxa"/>
          </w:tcPr>
          <w:p w14:paraId="659794A3" w14:textId="77777777" w:rsidR="00D52585" w:rsidRPr="006954F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4F3">
              <w:rPr>
                <w:rFonts w:ascii="Times New Roman" w:hAnsi="Times New Roman" w:cs="Times New Roman"/>
                <w:sz w:val="20"/>
                <w:szCs w:val="20"/>
              </w:rPr>
              <w:t>Review existing policies and procedures with input from youth leaders or youth representatives.</w:t>
            </w:r>
          </w:p>
        </w:tc>
      </w:tr>
    </w:tbl>
    <w:p w14:paraId="1DC32C33" w14:textId="77777777" w:rsidR="00D52585" w:rsidRPr="00414E31" w:rsidRDefault="00D52585" w:rsidP="00D52585">
      <w:pPr>
        <w:rPr>
          <w:b/>
          <w:bCs/>
        </w:rPr>
      </w:pPr>
    </w:p>
    <w:p w14:paraId="638374D2" w14:textId="77777777" w:rsidR="00D52585" w:rsidRPr="00414E31" w:rsidRDefault="00D52585" w:rsidP="00D52585">
      <w:pPr>
        <w:rPr>
          <w:rFonts w:ascii="Times New Roman" w:hAnsi="Times New Roman" w:cs="Times New Roman"/>
          <w:b/>
          <w:bCs/>
          <w:sz w:val="24"/>
          <w:szCs w:val="24"/>
        </w:rPr>
      </w:pPr>
      <w:r w:rsidRPr="00414E31">
        <w:rPr>
          <w:rFonts w:ascii="Times New Roman" w:hAnsi="Times New Roman" w:cs="Times New Roman"/>
          <w:b/>
          <w:bCs/>
          <w:sz w:val="24"/>
          <w:szCs w:val="24"/>
        </w:rPr>
        <w:br w:type="page"/>
      </w:r>
    </w:p>
    <w:p w14:paraId="12B2BF03" w14:textId="77777777" w:rsidR="00BE784B" w:rsidRPr="00BE784B" w:rsidRDefault="00BE784B" w:rsidP="002376DE">
      <w:pPr>
        <w:pStyle w:val="Heading3"/>
      </w:pPr>
      <w:r w:rsidRPr="00BE784B">
        <w:lastRenderedPageBreak/>
        <w:t>Table 2:  Evaluating Public Engagement Activities*</w:t>
      </w:r>
    </w:p>
    <w:p w14:paraId="6E56A416" w14:textId="77777777" w:rsidR="00BE784B" w:rsidRDefault="00BE784B" w:rsidP="000D4020">
      <w:pPr>
        <w:rPr>
          <w:i/>
          <w:iCs/>
          <w:sz w:val="20"/>
          <w:szCs w:val="20"/>
        </w:rPr>
      </w:pPr>
      <w:r w:rsidRPr="00826A35">
        <w:rPr>
          <w:sz w:val="20"/>
          <w:szCs w:val="20"/>
        </w:rPr>
        <w:t>*Drawn from the ten key success factors identified by Leston-Bandeira (2022)</w:t>
      </w:r>
    </w:p>
    <w:tbl>
      <w:tblPr>
        <w:tblStyle w:val="GridTable3-Accent1"/>
        <w:tblW w:w="9498" w:type="dxa"/>
        <w:tblInd w:w="-5" w:type="dxa"/>
        <w:tblLook w:val="04A0" w:firstRow="1" w:lastRow="0" w:firstColumn="1" w:lastColumn="0" w:noHBand="0" w:noVBand="1"/>
      </w:tblPr>
      <w:tblGrid>
        <w:gridCol w:w="4820"/>
        <w:gridCol w:w="4678"/>
      </w:tblGrid>
      <w:tr w:rsidR="00D52585" w:rsidRPr="00826A35" w14:paraId="3AD6AC3A" w14:textId="77777777" w:rsidTr="000D40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0" w:type="dxa"/>
          </w:tcPr>
          <w:p w14:paraId="1B28353C" w14:textId="77777777" w:rsidR="00D52585" w:rsidRPr="00826A35" w:rsidRDefault="00D52585" w:rsidP="000D4020">
            <w:pPr>
              <w:spacing w:after="60"/>
              <w:jc w:val="left"/>
              <w:rPr>
                <w:b w:val="0"/>
                <w:bCs w:val="0"/>
                <w:i w:val="0"/>
                <w:iCs w:val="0"/>
              </w:rPr>
            </w:pPr>
            <w:r w:rsidRPr="00826A35">
              <w:rPr>
                <w:i w:val="0"/>
                <w:iCs w:val="0"/>
              </w:rPr>
              <w:t>Success Factor</w:t>
            </w:r>
          </w:p>
        </w:tc>
        <w:tc>
          <w:tcPr>
            <w:tcW w:w="4678" w:type="dxa"/>
          </w:tcPr>
          <w:p w14:paraId="708F0C45" w14:textId="77777777" w:rsidR="00D52585" w:rsidRPr="00826A35" w:rsidRDefault="00D52585" w:rsidP="000D4020">
            <w:pPr>
              <w:spacing w:after="60"/>
              <w:cnfStyle w:val="100000000000" w:firstRow="1" w:lastRow="0" w:firstColumn="0" w:lastColumn="0" w:oddVBand="0" w:evenVBand="0" w:oddHBand="0" w:evenHBand="0" w:firstRowFirstColumn="0" w:firstRowLastColumn="0" w:lastRowFirstColumn="0" w:lastRowLastColumn="0"/>
              <w:rPr>
                <w:b w:val="0"/>
                <w:bCs w:val="0"/>
              </w:rPr>
            </w:pPr>
            <w:r w:rsidRPr="00826A35">
              <w:t xml:space="preserve">Indicator </w:t>
            </w:r>
          </w:p>
        </w:tc>
      </w:tr>
      <w:tr w:rsidR="00D52585" w:rsidRPr="00414E31" w14:paraId="231AA88D"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899FBF8"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Accessibility</w:t>
            </w:r>
          </w:p>
          <w:p w14:paraId="26643D33" w14:textId="77777777" w:rsidR="00D52585" w:rsidRPr="00CB558A" w:rsidRDefault="00D52585" w:rsidP="000D4020">
            <w:pPr>
              <w:spacing w:after="60"/>
              <w:jc w:val="left"/>
              <w:rPr>
                <w:rFonts w:ascii="Times New Roman" w:hAnsi="Times New Roman" w:cs="Times New Roman"/>
                <w:i w:val="0"/>
                <w:iCs w:val="0"/>
                <w:sz w:val="20"/>
                <w:szCs w:val="20"/>
              </w:rPr>
            </w:pPr>
            <w:r w:rsidRPr="00CB558A">
              <w:rPr>
                <w:rFonts w:ascii="Times New Roman" w:hAnsi="Times New Roman" w:cs="Times New Roman"/>
                <w:sz w:val="20"/>
                <w:szCs w:val="20"/>
              </w:rPr>
              <w:t>Language and mechanisms used to engage successfully conveys ideas to a diverse range of potential participants</w:t>
            </w:r>
          </w:p>
        </w:tc>
        <w:tc>
          <w:tcPr>
            <w:tcW w:w="4678" w:type="dxa"/>
          </w:tcPr>
          <w:p w14:paraId="6E8C9AC7"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Resources in multiple languages, </w:t>
            </w:r>
            <w:proofErr w:type="gramStart"/>
            <w:r w:rsidRPr="000F46D3">
              <w:rPr>
                <w:rFonts w:ascii="Times New Roman" w:hAnsi="Times New Roman" w:cs="Times New Roman"/>
                <w:sz w:val="20"/>
                <w:szCs w:val="20"/>
              </w:rPr>
              <w:t>styles</w:t>
            </w:r>
            <w:proofErr w:type="gramEnd"/>
            <w:r w:rsidRPr="000F46D3">
              <w:rPr>
                <w:rFonts w:ascii="Times New Roman" w:hAnsi="Times New Roman" w:cs="Times New Roman"/>
                <w:sz w:val="20"/>
                <w:szCs w:val="20"/>
              </w:rPr>
              <w:t xml:space="preserve"> or formats</w:t>
            </w:r>
          </w:p>
        </w:tc>
      </w:tr>
      <w:tr w:rsidR="00D52585" w:rsidRPr="00414E31" w14:paraId="663F423A"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50C0DE32"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12190E1E"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Different modes of communication used to share information with different audiences </w:t>
            </w:r>
          </w:p>
        </w:tc>
      </w:tr>
      <w:tr w:rsidR="00D52585" w:rsidRPr="00414E31" w14:paraId="5EA2F4D9"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3DCA727" w14:textId="77777777" w:rsidR="00D52585" w:rsidRPr="00414E31" w:rsidRDefault="00D52585" w:rsidP="000D4020">
            <w:pPr>
              <w:spacing w:after="60"/>
              <w:rPr>
                <w:rFonts w:ascii="Times New Roman" w:hAnsi="Times New Roman" w:cs="Times New Roman"/>
                <w:b/>
                <w:bCs/>
                <w:sz w:val="20"/>
                <w:szCs w:val="20"/>
              </w:rPr>
            </w:pPr>
          </w:p>
        </w:tc>
        <w:tc>
          <w:tcPr>
            <w:tcW w:w="4678" w:type="dxa"/>
          </w:tcPr>
          <w:p w14:paraId="63055536"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Feedback sought from young people or youth services about accessibility of materials and resources</w:t>
            </w:r>
          </w:p>
        </w:tc>
      </w:tr>
      <w:tr w:rsidR="00D52585" w:rsidRPr="00414E31" w14:paraId="49715996"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2C9808D1" w14:textId="77777777" w:rsidR="00D52585" w:rsidRPr="00CB558A" w:rsidRDefault="00D52585" w:rsidP="000D4020">
            <w:pPr>
              <w:spacing w:after="60"/>
              <w:jc w:val="left"/>
              <w:rPr>
                <w:rFonts w:ascii="Times New Roman" w:hAnsi="Times New Roman" w:cs="Times New Roman"/>
                <w:b/>
                <w:bCs/>
                <w:sz w:val="20"/>
                <w:szCs w:val="20"/>
              </w:rPr>
            </w:pPr>
            <w:r>
              <w:rPr>
                <w:rFonts w:ascii="Times New Roman" w:hAnsi="Times New Roman" w:cs="Times New Roman"/>
                <w:b/>
                <w:bCs/>
                <w:sz w:val="20"/>
                <w:szCs w:val="20"/>
              </w:rPr>
              <w:t>Rates of Participation</w:t>
            </w:r>
          </w:p>
          <w:p w14:paraId="5F97078D" w14:textId="77777777" w:rsidR="00D52585" w:rsidRPr="00CB558A" w:rsidRDefault="00D52585" w:rsidP="000D4020">
            <w:pPr>
              <w:spacing w:after="60"/>
              <w:jc w:val="left"/>
              <w:rPr>
                <w:rFonts w:ascii="Times New Roman" w:hAnsi="Times New Roman" w:cs="Times New Roman"/>
                <w:i w:val="0"/>
                <w:iCs w:val="0"/>
                <w:sz w:val="20"/>
                <w:szCs w:val="20"/>
              </w:rPr>
            </w:pPr>
            <w:r w:rsidRPr="00CB558A">
              <w:rPr>
                <w:rFonts w:ascii="Times New Roman" w:hAnsi="Times New Roman" w:cs="Times New Roman"/>
                <w:sz w:val="20"/>
                <w:szCs w:val="20"/>
              </w:rPr>
              <w:t>Actively seeking input from those not otherwise engaged with the processes and practices of parliament.</w:t>
            </w:r>
          </w:p>
        </w:tc>
        <w:tc>
          <w:tcPr>
            <w:tcW w:w="4678" w:type="dxa"/>
          </w:tcPr>
          <w:p w14:paraId="40098CF5" w14:textId="77777777" w:rsidR="00D52585" w:rsidRPr="000F46D3" w:rsidRDefault="00D52585" w:rsidP="000D4020">
            <w:pPr>
              <w:tabs>
                <w:tab w:val="right" w:pos="2897"/>
              </w:tabs>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Increased rates of participation</w:t>
            </w:r>
          </w:p>
        </w:tc>
      </w:tr>
      <w:tr w:rsidR="00D52585" w:rsidRPr="00414E31" w14:paraId="68D897B5"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C86AD61"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75B62C90"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Increased geographical diversity</w:t>
            </w:r>
            <w:r>
              <w:rPr>
                <w:rFonts w:ascii="Times New Roman" w:hAnsi="Times New Roman" w:cs="Times New Roman"/>
                <w:sz w:val="20"/>
                <w:szCs w:val="20"/>
              </w:rPr>
              <w:t xml:space="preserve"> of participants</w:t>
            </w:r>
          </w:p>
        </w:tc>
      </w:tr>
      <w:tr w:rsidR="00D52585" w:rsidRPr="00414E31" w14:paraId="0AFFAB8A"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5840DD49" w14:textId="77777777" w:rsidR="00D52585" w:rsidRPr="00414E31" w:rsidRDefault="00D52585" w:rsidP="000D4020">
            <w:pPr>
              <w:spacing w:after="60"/>
              <w:rPr>
                <w:rFonts w:ascii="Times New Roman" w:hAnsi="Times New Roman" w:cs="Times New Roman"/>
                <w:b/>
                <w:bCs/>
                <w:sz w:val="20"/>
                <w:szCs w:val="20"/>
              </w:rPr>
            </w:pPr>
          </w:p>
        </w:tc>
        <w:tc>
          <w:tcPr>
            <w:tcW w:w="4678" w:type="dxa"/>
          </w:tcPr>
          <w:p w14:paraId="4B760DE3"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Increased demographic diversity</w:t>
            </w:r>
            <w:r>
              <w:rPr>
                <w:rFonts w:ascii="Times New Roman" w:hAnsi="Times New Roman" w:cs="Times New Roman"/>
                <w:sz w:val="20"/>
                <w:szCs w:val="20"/>
              </w:rPr>
              <w:t xml:space="preserve"> of participants</w:t>
            </w:r>
          </w:p>
        </w:tc>
      </w:tr>
      <w:tr w:rsidR="00D52585" w:rsidRPr="00414E31" w14:paraId="4F425D01" w14:textId="77777777" w:rsidTr="000D402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820" w:type="dxa"/>
          </w:tcPr>
          <w:p w14:paraId="0D647A18"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Diversity of the audience </w:t>
            </w:r>
          </w:p>
          <w:p w14:paraId="62AC9D98" w14:textId="77777777" w:rsidR="00D52585" w:rsidRPr="00CB558A" w:rsidRDefault="00D52585" w:rsidP="000D4020">
            <w:pPr>
              <w:spacing w:after="60"/>
              <w:jc w:val="left"/>
              <w:rPr>
                <w:rFonts w:ascii="Times New Roman" w:hAnsi="Times New Roman" w:cs="Times New Roman"/>
                <w:sz w:val="20"/>
                <w:szCs w:val="20"/>
              </w:rPr>
            </w:pPr>
            <w:r w:rsidRPr="00CB558A">
              <w:rPr>
                <w:rFonts w:ascii="Times New Roman" w:hAnsi="Times New Roman" w:cs="Times New Roman"/>
                <w:sz w:val="20"/>
                <w:szCs w:val="20"/>
              </w:rPr>
              <w:t>Facilitating participation beyond those already familiar with parliamentary processes</w:t>
            </w:r>
          </w:p>
        </w:tc>
        <w:tc>
          <w:tcPr>
            <w:tcW w:w="4678" w:type="dxa"/>
          </w:tcPr>
          <w:p w14:paraId="1326B6E0"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Participation beyond th</w:t>
            </w:r>
            <w:r>
              <w:rPr>
                <w:rFonts w:ascii="Times New Roman" w:hAnsi="Times New Roman" w:cs="Times New Roman"/>
                <w:sz w:val="20"/>
                <w:szCs w:val="20"/>
              </w:rPr>
              <w:t>ose individuals and groups with intersecting privileges and high levels of familiarity with parliamentary processes and practices</w:t>
            </w:r>
          </w:p>
        </w:tc>
      </w:tr>
      <w:tr w:rsidR="00D52585" w:rsidRPr="00414E31" w14:paraId="70210A0A"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3FF6E0F4"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7D20D890"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Explicit encouragement for diverse groups to participate</w:t>
            </w:r>
            <w:r>
              <w:rPr>
                <w:rFonts w:ascii="Times New Roman" w:hAnsi="Times New Roman" w:cs="Times New Roman"/>
                <w:sz w:val="20"/>
                <w:szCs w:val="20"/>
              </w:rPr>
              <w:t>, including through hearings ‘in place’</w:t>
            </w:r>
          </w:p>
        </w:tc>
      </w:tr>
      <w:tr w:rsidR="00D52585" w:rsidRPr="00414E31" w14:paraId="43FBE9BC"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3E8B1A0B"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Identifying and addressing existing ‘divides’</w:t>
            </w:r>
          </w:p>
          <w:p w14:paraId="7972EDF0" w14:textId="77777777" w:rsidR="00D52585" w:rsidRPr="00414E31" w:rsidRDefault="00D52585" w:rsidP="000D4020">
            <w:pPr>
              <w:spacing w:after="60"/>
              <w:jc w:val="left"/>
              <w:rPr>
                <w:rFonts w:ascii="Times New Roman" w:hAnsi="Times New Roman" w:cs="Times New Roman"/>
                <w:b/>
                <w:bCs/>
                <w:i w:val="0"/>
                <w:iCs w:val="0"/>
                <w:sz w:val="20"/>
                <w:szCs w:val="20"/>
              </w:rPr>
            </w:pPr>
            <w:r w:rsidRPr="00CB558A">
              <w:rPr>
                <w:rFonts w:ascii="Times New Roman" w:hAnsi="Times New Roman" w:cs="Times New Roman"/>
                <w:sz w:val="20"/>
                <w:szCs w:val="20"/>
              </w:rPr>
              <w:t xml:space="preserve">Explicit efforts to understand and overcome existing political, social, economic, </w:t>
            </w:r>
            <w:proofErr w:type="gramStart"/>
            <w:r w:rsidRPr="00CB558A">
              <w:rPr>
                <w:rFonts w:ascii="Times New Roman" w:hAnsi="Times New Roman" w:cs="Times New Roman"/>
                <w:sz w:val="20"/>
                <w:szCs w:val="20"/>
              </w:rPr>
              <w:t>digital</w:t>
            </w:r>
            <w:proofErr w:type="gramEnd"/>
            <w:r w:rsidRPr="00CB558A">
              <w:rPr>
                <w:rFonts w:ascii="Times New Roman" w:hAnsi="Times New Roman" w:cs="Times New Roman"/>
                <w:sz w:val="20"/>
                <w:szCs w:val="20"/>
              </w:rPr>
              <w:t xml:space="preserve"> or other divides</w:t>
            </w:r>
          </w:p>
        </w:tc>
        <w:tc>
          <w:tcPr>
            <w:tcW w:w="4678" w:type="dxa"/>
          </w:tcPr>
          <w:p w14:paraId="491EF724"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Practical barriers to diverse participation are identified and explicitly addressed</w:t>
            </w:r>
          </w:p>
        </w:tc>
      </w:tr>
      <w:tr w:rsidR="00D52585" w:rsidRPr="00414E31" w14:paraId="4B9C73C6"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324299FA"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Diverse communication techniques</w:t>
            </w:r>
          </w:p>
          <w:p w14:paraId="4019ED01" w14:textId="77777777" w:rsidR="00D52585" w:rsidRPr="00CB558A" w:rsidRDefault="00D52585" w:rsidP="000D4020">
            <w:pPr>
              <w:spacing w:after="60"/>
              <w:jc w:val="left"/>
              <w:rPr>
                <w:rFonts w:ascii="Times New Roman" w:hAnsi="Times New Roman" w:cs="Times New Roman"/>
                <w:i w:val="0"/>
                <w:iCs w:val="0"/>
                <w:sz w:val="20"/>
                <w:szCs w:val="20"/>
              </w:rPr>
            </w:pPr>
            <w:r w:rsidRPr="00CB558A">
              <w:rPr>
                <w:rFonts w:ascii="Times New Roman" w:hAnsi="Times New Roman" w:cs="Times New Roman"/>
                <w:sz w:val="20"/>
                <w:szCs w:val="20"/>
              </w:rPr>
              <w:t xml:space="preserve">A multiplicity of communication techniques </w:t>
            </w:r>
            <w:proofErr w:type="gramStart"/>
            <w:r w:rsidRPr="00CB558A">
              <w:rPr>
                <w:rFonts w:ascii="Times New Roman" w:hAnsi="Times New Roman" w:cs="Times New Roman"/>
                <w:sz w:val="20"/>
                <w:szCs w:val="20"/>
              </w:rPr>
              <w:t>have</w:t>
            </w:r>
            <w:proofErr w:type="gramEnd"/>
            <w:r w:rsidRPr="00CB558A">
              <w:rPr>
                <w:rFonts w:ascii="Times New Roman" w:hAnsi="Times New Roman" w:cs="Times New Roman"/>
                <w:sz w:val="20"/>
                <w:szCs w:val="20"/>
              </w:rPr>
              <w:t xml:space="preserve"> been employed </w:t>
            </w:r>
          </w:p>
          <w:p w14:paraId="3DA60965" w14:textId="77777777" w:rsidR="00D52585" w:rsidRPr="00414E31" w:rsidRDefault="00D52585" w:rsidP="000D4020">
            <w:pPr>
              <w:spacing w:after="60"/>
              <w:jc w:val="left"/>
              <w:rPr>
                <w:rFonts w:ascii="Times New Roman" w:hAnsi="Times New Roman" w:cs="Times New Roman"/>
                <w:b/>
                <w:bCs/>
                <w:i w:val="0"/>
                <w:iCs w:val="0"/>
                <w:sz w:val="20"/>
                <w:szCs w:val="20"/>
              </w:rPr>
            </w:pPr>
          </w:p>
        </w:tc>
        <w:tc>
          <w:tcPr>
            <w:tcW w:w="4678" w:type="dxa"/>
          </w:tcPr>
          <w:p w14:paraId="25C32CDA"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Evidence of multiple communication techniques e.g. text, audio, video, visual, infographics</w:t>
            </w:r>
          </w:p>
        </w:tc>
      </w:tr>
      <w:tr w:rsidR="00D52585" w:rsidRPr="00414E31" w14:paraId="3A6EA3C5" w14:textId="77777777" w:rsidTr="000D4020">
        <w:trPr>
          <w:cnfStyle w:val="000000100000" w:firstRow="0" w:lastRow="0" w:firstColumn="0" w:lastColumn="0" w:oddVBand="0" w:evenVBand="0" w:oddHBand="1" w:evenHBand="0" w:firstRowFirstColumn="0" w:firstRowLastColumn="0" w:lastRowFirstColumn="0" w:lastRowLastColumn="0"/>
          <w:trHeight w:val="1067"/>
        </w:trPr>
        <w:tc>
          <w:tcPr>
            <w:cnfStyle w:val="001000000000" w:firstRow="0" w:lastRow="0" w:firstColumn="1" w:lastColumn="0" w:oddVBand="0" w:evenVBand="0" w:oddHBand="0" w:evenHBand="0" w:firstRowFirstColumn="0" w:firstRowLastColumn="0" w:lastRowFirstColumn="0" w:lastRowLastColumn="0"/>
            <w:tcW w:w="4820" w:type="dxa"/>
          </w:tcPr>
          <w:p w14:paraId="4C123ED5"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Issue-led rather than process-</w:t>
            </w:r>
            <w:proofErr w:type="gramStart"/>
            <w:r w:rsidRPr="00414E31">
              <w:rPr>
                <w:rFonts w:ascii="Times New Roman" w:hAnsi="Times New Roman" w:cs="Times New Roman"/>
                <w:b/>
                <w:bCs/>
                <w:sz w:val="20"/>
                <w:szCs w:val="20"/>
              </w:rPr>
              <w:t>led</w:t>
            </w:r>
            <w:proofErr w:type="gramEnd"/>
          </w:p>
          <w:p w14:paraId="73014B4A" w14:textId="77777777" w:rsidR="00D52585" w:rsidRPr="008A583F" w:rsidRDefault="00D52585" w:rsidP="000D4020">
            <w:pPr>
              <w:spacing w:after="60"/>
              <w:jc w:val="left"/>
              <w:rPr>
                <w:rFonts w:ascii="Times New Roman" w:hAnsi="Times New Roman" w:cs="Times New Roman"/>
                <w:i w:val="0"/>
                <w:iCs w:val="0"/>
                <w:sz w:val="20"/>
                <w:szCs w:val="20"/>
              </w:rPr>
            </w:pPr>
            <w:r>
              <w:rPr>
                <w:rFonts w:ascii="Times New Roman" w:hAnsi="Times New Roman" w:cs="Times New Roman"/>
                <w:sz w:val="20"/>
                <w:szCs w:val="20"/>
              </w:rPr>
              <w:t>O</w:t>
            </w:r>
            <w:r w:rsidRPr="008A583F">
              <w:rPr>
                <w:rFonts w:ascii="Times New Roman" w:hAnsi="Times New Roman" w:cs="Times New Roman"/>
                <w:sz w:val="20"/>
                <w:szCs w:val="20"/>
              </w:rPr>
              <w:t xml:space="preserve">rdinary people are more likely to engage because they care about an issue, not because they know how a process </w:t>
            </w:r>
            <w:proofErr w:type="gramStart"/>
            <w:r w:rsidRPr="008A583F">
              <w:rPr>
                <w:rFonts w:ascii="Times New Roman" w:hAnsi="Times New Roman" w:cs="Times New Roman"/>
                <w:sz w:val="20"/>
                <w:szCs w:val="20"/>
              </w:rPr>
              <w:t>works</w:t>
            </w:r>
            <w:proofErr w:type="gramEnd"/>
          </w:p>
          <w:p w14:paraId="13B254E4" w14:textId="77777777" w:rsidR="00D52585" w:rsidRPr="00414E31" w:rsidRDefault="00D52585" w:rsidP="000D4020">
            <w:pPr>
              <w:spacing w:after="60"/>
              <w:jc w:val="left"/>
              <w:rPr>
                <w:rFonts w:ascii="Times New Roman" w:hAnsi="Times New Roman" w:cs="Times New Roman"/>
                <w:b/>
                <w:bCs/>
                <w:i w:val="0"/>
                <w:iCs w:val="0"/>
                <w:sz w:val="20"/>
                <w:szCs w:val="20"/>
              </w:rPr>
            </w:pPr>
          </w:p>
        </w:tc>
        <w:tc>
          <w:tcPr>
            <w:tcW w:w="4678" w:type="dxa"/>
          </w:tcPr>
          <w:p w14:paraId="3B6F5DCF"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Evidence of procedural innovation or flexibility in response to issue-orientated engagement </w:t>
            </w:r>
          </w:p>
        </w:tc>
      </w:tr>
      <w:tr w:rsidR="00D52585" w:rsidRPr="00414E31" w14:paraId="56B790E7"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418D80AD"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Listening rather than broadcasting </w:t>
            </w:r>
          </w:p>
          <w:p w14:paraId="6C8E4AF5" w14:textId="77777777" w:rsidR="00D52585" w:rsidRPr="008A583F" w:rsidRDefault="00D52585" w:rsidP="000D4020">
            <w:pPr>
              <w:spacing w:after="60"/>
              <w:jc w:val="left"/>
              <w:rPr>
                <w:rFonts w:ascii="Times New Roman" w:hAnsi="Times New Roman" w:cs="Times New Roman"/>
                <w:i w:val="0"/>
                <w:iCs w:val="0"/>
                <w:sz w:val="20"/>
                <w:szCs w:val="20"/>
              </w:rPr>
            </w:pPr>
            <w:r w:rsidRPr="008A583F">
              <w:rPr>
                <w:rFonts w:ascii="Times New Roman" w:hAnsi="Times New Roman" w:cs="Times New Roman"/>
                <w:sz w:val="20"/>
                <w:szCs w:val="20"/>
              </w:rPr>
              <w:t>Institutiona</w:t>
            </w:r>
            <w:r w:rsidRPr="008A583F">
              <w:rPr>
                <w:rFonts w:ascii="Times New Roman" w:hAnsi="Times New Roman" w:cs="Times New Roman"/>
                <w:i w:val="0"/>
                <w:iCs w:val="0"/>
                <w:sz w:val="20"/>
                <w:szCs w:val="20"/>
              </w:rPr>
              <w:t>l</w:t>
            </w:r>
            <w:r w:rsidRPr="008A583F">
              <w:rPr>
                <w:rFonts w:ascii="Times New Roman" w:hAnsi="Times New Roman" w:cs="Times New Roman"/>
                <w:sz w:val="20"/>
                <w:szCs w:val="20"/>
              </w:rPr>
              <w:t xml:space="preserve"> actors demonstrate active listening techniques and explicitly respond to ideas or input from others </w:t>
            </w:r>
          </w:p>
        </w:tc>
        <w:tc>
          <w:tcPr>
            <w:tcW w:w="4678" w:type="dxa"/>
          </w:tcPr>
          <w:p w14:paraId="29DE783D"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Evidence of two-way communication where institutional actors respond to ideas or suggestions by other participants</w:t>
            </w:r>
          </w:p>
        </w:tc>
      </w:tr>
      <w:tr w:rsidR="00D52585" w:rsidRPr="00414E31" w14:paraId="36ADDBD0"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B3ED877"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15033250"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Opportunity </w:t>
            </w:r>
            <w:r>
              <w:rPr>
                <w:rFonts w:ascii="Times New Roman" w:hAnsi="Times New Roman" w:cs="Times New Roman"/>
                <w:sz w:val="20"/>
                <w:szCs w:val="20"/>
              </w:rPr>
              <w:t xml:space="preserve">for participants </w:t>
            </w:r>
            <w:r w:rsidRPr="000F46D3">
              <w:rPr>
                <w:rFonts w:ascii="Times New Roman" w:hAnsi="Times New Roman" w:cs="Times New Roman"/>
                <w:sz w:val="20"/>
                <w:szCs w:val="20"/>
              </w:rPr>
              <w:t>to share lived experience</w:t>
            </w:r>
            <w:r>
              <w:rPr>
                <w:rFonts w:ascii="Times New Roman" w:hAnsi="Times New Roman" w:cs="Times New Roman"/>
                <w:sz w:val="20"/>
                <w:szCs w:val="20"/>
              </w:rPr>
              <w:t xml:space="preserve"> in safe environments</w:t>
            </w:r>
          </w:p>
        </w:tc>
      </w:tr>
      <w:tr w:rsidR="00D52585" w:rsidRPr="00414E31" w14:paraId="0A1DA3BF"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46D68F9B"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30500D5E"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Appropriate acknowledgement of inputs submitted</w:t>
            </w:r>
          </w:p>
        </w:tc>
      </w:tr>
      <w:tr w:rsidR="00D52585" w:rsidRPr="00414E31" w14:paraId="57AE2C6B"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E1F8CA3"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Closing the feedback loop</w:t>
            </w:r>
          </w:p>
          <w:p w14:paraId="0B63102D" w14:textId="77777777" w:rsidR="00D52585" w:rsidRPr="008A583F" w:rsidRDefault="00D52585" w:rsidP="000D4020">
            <w:pPr>
              <w:spacing w:after="60"/>
              <w:jc w:val="left"/>
              <w:rPr>
                <w:rFonts w:ascii="Times New Roman" w:hAnsi="Times New Roman" w:cs="Times New Roman"/>
                <w:i w:val="0"/>
                <w:iCs w:val="0"/>
                <w:sz w:val="20"/>
                <w:szCs w:val="20"/>
              </w:rPr>
            </w:pPr>
            <w:r w:rsidRPr="008A583F">
              <w:rPr>
                <w:rFonts w:ascii="Times New Roman" w:hAnsi="Times New Roman" w:cs="Times New Roman"/>
                <w:sz w:val="20"/>
                <w:szCs w:val="20"/>
              </w:rPr>
              <w:t>Effective explanation of how inputs collected informed parliamentary business</w:t>
            </w:r>
          </w:p>
        </w:tc>
        <w:tc>
          <w:tcPr>
            <w:tcW w:w="4678" w:type="dxa"/>
          </w:tcPr>
          <w:p w14:paraId="72704258"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Evidence of clear communication with participants about how their inputs informed parliamentary business</w:t>
            </w:r>
          </w:p>
        </w:tc>
      </w:tr>
      <w:tr w:rsidR="00D52585" w:rsidRPr="00414E31" w14:paraId="0E21FDE6"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4FEAE7DA"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01CD6E04" w14:textId="77777777" w:rsidR="00D52585"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Evidence that someone did listen, even if not to accommodate the exact demands </w:t>
            </w:r>
            <w:proofErr w:type="gramStart"/>
            <w:r w:rsidRPr="000F46D3">
              <w:rPr>
                <w:rFonts w:ascii="Times New Roman" w:hAnsi="Times New Roman" w:cs="Times New Roman"/>
                <w:sz w:val="20"/>
                <w:szCs w:val="20"/>
              </w:rPr>
              <w:t>made</w:t>
            </w:r>
            <w:proofErr w:type="gramEnd"/>
          </w:p>
          <w:p w14:paraId="41023E6F"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D52585" w:rsidRPr="00414E31" w14:paraId="1DEB335B" w14:textId="77777777" w:rsidTr="000D4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4916154E"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lastRenderedPageBreak/>
              <w:t>Linking engagement with parliamentary business</w:t>
            </w:r>
          </w:p>
          <w:p w14:paraId="6F3C2661" w14:textId="77777777" w:rsidR="00D52585" w:rsidRPr="001C14F1" w:rsidRDefault="00D52585" w:rsidP="000D4020">
            <w:pPr>
              <w:spacing w:after="60"/>
              <w:jc w:val="left"/>
              <w:rPr>
                <w:rFonts w:ascii="Times New Roman" w:hAnsi="Times New Roman" w:cs="Times New Roman"/>
                <w:i w:val="0"/>
                <w:iCs w:val="0"/>
                <w:sz w:val="20"/>
                <w:szCs w:val="20"/>
              </w:rPr>
            </w:pPr>
            <w:r w:rsidRPr="001C14F1">
              <w:rPr>
                <w:rFonts w:ascii="Times New Roman" w:hAnsi="Times New Roman" w:cs="Times New Roman"/>
                <w:sz w:val="20"/>
                <w:szCs w:val="20"/>
              </w:rPr>
              <w:t>Views of the participants are formally and actively linked to the process of considering the bill or policy</w:t>
            </w:r>
          </w:p>
        </w:tc>
        <w:tc>
          <w:tcPr>
            <w:tcW w:w="4678" w:type="dxa"/>
          </w:tcPr>
          <w:p w14:paraId="7199374B"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Evidence of involvement or acknowledgement by diverse range of Members of Parliament. </w:t>
            </w:r>
          </w:p>
        </w:tc>
      </w:tr>
      <w:tr w:rsidR="00D52585" w:rsidRPr="00414E31" w14:paraId="28A949F3" w14:textId="77777777" w:rsidTr="000D4020">
        <w:tc>
          <w:tcPr>
            <w:cnfStyle w:val="001000000000" w:firstRow="0" w:lastRow="0" w:firstColumn="1" w:lastColumn="0" w:oddVBand="0" w:evenVBand="0" w:oddHBand="0" w:evenHBand="0" w:firstRowFirstColumn="0" w:firstRowLastColumn="0" w:lastRowFirstColumn="0" w:lastRowLastColumn="0"/>
            <w:tcW w:w="4820" w:type="dxa"/>
          </w:tcPr>
          <w:p w14:paraId="631DEE51" w14:textId="77777777" w:rsidR="00D52585" w:rsidRPr="00414E31" w:rsidRDefault="00D52585" w:rsidP="000D4020">
            <w:pPr>
              <w:spacing w:after="60"/>
              <w:jc w:val="left"/>
              <w:rPr>
                <w:rFonts w:ascii="Times New Roman" w:hAnsi="Times New Roman" w:cs="Times New Roman"/>
                <w:b/>
                <w:bCs/>
                <w:sz w:val="20"/>
                <w:szCs w:val="20"/>
              </w:rPr>
            </w:pPr>
          </w:p>
        </w:tc>
        <w:tc>
          <w:tcPr>
            <w:tcW w:w="4678" w:type="dxa"/>
          </w:tcPr>
          <w:p w14:paraId="0E4C857A" w14:textId="77777777" w:rsidR="00D52585" w:rsidRPr="000F46D3" w:rsidRDefault="00D52585" w:rsidP="000D4020">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Evidence that participant views are formally and actively linked to the process of considering the bill</w:t>
            </w:r>
          </w:p>
        </w:tc>
      </w:tr>
      <w:tr w:rsidR="00D52585" w:rsidRPr="00414E31" w14:paraId="141228BA" w14:textId="77777777" w:rsidTr="000D4020">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4820" w:type="dxa"/>
          </w:tcPr>
          <w:p w14:paraId="0186C4B3" w14:textId="77777777" w:rsidR="00D52585" w:rsidRPr="00414E31" w:rsidRDefault="00D52585" w:rsidP="000D4020">
            <w:pPr>
              <w:spacing w:after="60"/>
              <w:jc w:val="left"/>
              <w:rPr>
                <w:rFonts w:ascii="Times New Roman" w:hAnsi="Times New Roman" w:cs="Times New Roman"/>
                <w:b/>
                <w:bCs/>
                <w:sz w:val="20"/>
                <w:szCs w:val="20"/>
              </w:rPr>
            </w:pPr>
            <w:r w:rsidRPr="00414E31">
              <w:rPr>
                <w:rFonts w:ascii="Times New Roman" w:hAnsi="Times New Roman" w:cs="Times New Roman"/>
                <w:b/>
                <w:bCs/>
                <w:sz w:val="20"/>
                <w:szCs w:val="20"/>
              </w:rPr>
              <w:t xml:space="preserve">Evaluation and reporting of </w:t>
            </w:r>
            <w:proofErr w:type="gramStart"/>
            <w:r w:rsidRPr="00414E31">
              <w:rPr>
                <w:rFonts w:ascii="Times New Roman" w:hAnsi="Times New Roman" w:cs="Times New Roman"/>
                <w:b/>
                <w:bCs/>
                <w:sz w:val="20"/>
                <w:szCs w:val="20"/>
              </w:rPr>
              <w:t>activities</w:t>
            </w:r>
            <w:proofErr w:type="gramEnd"/>
          </w:p>
          <w:p w14:paraId="2A34BD34" w14:textId="77777777" w:rsidR="00D52585" w:rsidRPr="001C14F1" w:rsidRDefault="00D52585" w:rsidP="000D4020">
            <w:pPr>
              <w:spacing w:after="60"/>
              <w:jc w:val="left"/>
              <w:rPr>
                <w:rFonts w:ascii="Times New Roman" w:hAnsi="Times New Roman" w:cs="Times New Roman"/>
                <w:i w:val="0"/>
                <w:iCs w:val="0"/>
                <w:sz w:val="20"/>
                <w:szCs w:val="20"/>
              </w:rPr>
            </w:pPr>
            <w:r w:rsidRPr="001C14F1">
              <w:rPr>
                <w:rFonts w:ascii="Times New Roman" w:hAnsi="Times New Roman" w:cs="Times New Roman"/>
                <w:sz w:val="20"/>
                <w:szCs w:val="20"/>
              </w:rPr>
              <w:t>Parliaments regularly seek feedback and report on engagement performance</w:t>
            </w:r>
          </w:p>
        </w:tc>
        <w:tc>
          <w:tcPr>
            <w:tcW w:w="4678" w:type="dxa"/>
          </w:tcPr>
          <w:p w14:paraId="444B33E1" w14:textId="77777777" w:rsidR="00D52585" w:rsidRPr="000F46D3" w:rsidRDefault="00D52585" w:rsidP="000D4020">
            <w:pPr>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F46D3">
              <w:rPr>
                <w:rFonts w:ascii="Times New Roman" w:hAnsi="Times New Roman" w:cs="Times New Roman"/>
                <w:sz w:val="20"/>
                <w:szCs w:val="20"/>
              </w:rPr>
              <w:t xml:space="preserve">Evidence of internal reflection </w:t>
            </w:r>
            <w:r>
              <w:rPr>
                <w:rFonts w:ascii="Times New Roman" w:hAnsi="Times New Roman" w:cs="Times New Roman"/>
                <w:sz w:val="20"/>
                <w:szCs w:val="20"/>
              </w:rPr>
              <w:t>and opportunities for public to provide feedback and reflection on specific and general engagement experiences</w:t>
            </w:r>
          </w:p>
        </w:tc>
      </w:tr>
    </w:tbl>
    <w:p w14:paraId="17B12B9C" w14:textId="77777777" w:rsidR="00D52585" w:rsidRPr="00414E31" w:rsidRDefault="00D52585" w:rsidP="00D52585">
      <w:pPr>
        <w:rPr>
          <w:b/>
          <w:bCs/>
        </w:rPr>
      </w:pPr>
      <w:r w:rsidRPr="00414E31">
        <w:rPr>
          <w:b/>
          <w:bCs/>
        </w:rPr>
        <w:br w:type="page"/>
      </w:r>
    </w:p>
    <w:p w14:paraId="0D58AB40" w14:textId="77777777" w:rsidR="00FA511E" w:rsidRPr="006F3A5D" w:rsidRDefault="00FA511E" w:rsidP="002D0CB1">
      <w:pPr>
        <w:pStyle w:val="Heading2"/>
        <w:spacing w:before="0" w:beforeAutospacing="0" w:after="120" w:afterAutospacing="0"/>
      </w:pPr>
      <w:bookmarkStart w:id="2" w:name="_Toc150432291"/>
      <w:bookmarkStart w:id="3" w:name="_Toc157765859"/>
      <w:bookmarkStart w:id="4" w:name="_Toc150432279"/>
      <w:bookmarkStart w:id="5" w:name="_Toc157765829"/>
      <w:bookmarkEnd w:id="0"/>
      <w:bookmarkEnd w:id="1"/>
      <w:r w:rsidRPr="006F3A5D">
        <w:lastRenderedPageBreak/>
        <w:t>(Re)conceptualising youth democratic engagement in Australia</w:t>
      </w:r>
      <w:bookmarkEnd w:id="2"/>
      <w:bookmarkEnd w:id="3"/>
    </w:p>
    <w:p w14:paraId="1DAE76B1"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insights and experiences described above, coupled with the global mapping and research being undertaken by IPEN, IPU and others, suggests that it is time to reconceptualise what youth democratic engagement looks like in Australia.  This </w:t>
      </w:r>
      <w:proofErr w:type="spellStart"/>
      <w:r w:rsidRPr="006F3A5D">
        <w:rPr>
          <w:rFonts w:ascii="Times New Roman" w:hAnsi="Times New Roman" w:cs="Times New Roman"/>
        </w:rPr>
        <w:t>reconceptualisation</w:t>
      </w:r>
      <w:proofErr w:type="spellEnd"/>
      <w:r w:rsidRPr="006F3A5D">
        <w:rPr>
          <w:rFonts w:ascii="Times New Roman" w:hAnsi="Times New Roman" w:cs="Times New Roman"/>
        </w:rPr>
        <w:t xml:space="preserve"> is a necessary pre-cursor to identifying what interventions or actions we can collectively take to improve the quality of youth engagement with Australian Parliaments.</w:t>
      </w:r>
    </w:p>
    <w:p w14:paraId="490C1FDE" w14:textId="77777777" w:rsidR="00FA511E" w:rsidRPr="006F3A5D" w:rsidRDefault="00FA511E" w:rsidP="002D0CB1">
      <w:pPr>
        <w:spacing w:after="120" w:line="240" w:lineRule="auto"/>
        <w:jc w:val="both"/>
        <w:rPr>
          <w:rFonts w:ascii="Times New Roman" w:hAnsi="Times New Roman" w:cs="Times New Roman"/>
          <w:b/>
          <w:bCs/>
        </w:rPr>
      </w:pPr>
      <w:r w:rsidRPr="006F3A5D">
        <w:rPr>
          <w:rFonts w:ascii="Times New Roman" w:hAnsi="Times New Roman" w:cs="Times New Roman"/>
          <w:noProof/>
        </w:rPr>
        <w:drawing>
          <wp:anchor distT="0" distB="0" distL="114300" distR="114300" simplePos="0" relativeHeight="251658240" behindDoc="0" locked="0" layoutInCell="1" allowOverlap="1" wp14:anchorId="2F95CB07" wp14:editId="209A95CD">
            <wp:simplePos x="0" y="0"/>
            <wp:positionH relativeFrom="column">
              <wp:posOffset>0</wp:posOffset>
            </wp:positionH>
            <wp:positionV relativeFrom="paragraph">
              <wp:posOffset>-635</wp:posOffset>
            </wp:positionV>
            <wp:extent cx="2162810" cy="2884170"/>
            <wp:effectExtent l="0" t="0" r="8890" b="0"/>
            <wp:wrapSquare wrapText="bothSides"/>
            <wp:docPr id="62" name="Picture 62"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288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3A5D">
        <w:rPr>
          <w:rFonts w:ascii="Times New Roman" w:hAnsi="Times New Roman" w:cs="Times New Roman"/>
          <w:sz w:val="16"/>
          <w:szCs w:val="16"/>
        </w:rPr>
        <w:t>Photo Credit: Sarah Moulds, 2023, Scottish Parliament, Edinburgh</w:t>
      </w:r>
    </w:p>
    <w:p w14:paraId="712F70FF"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As the Bennett Institute for Public Policy has observed, if we want to improve the quality of the connection between the governed and the governors, we must:</w:t>
      </w:r>
    </w:p>
    <w:p w14:paraId="440ECF50" w14:textId="77777777" w:rsidR="00FA511E" w:rsidRPr="006F3A5D" w:rsidRDefault="00FA511E" w:rsidP="002D0CB1">
      <w:pPr>
        <w:pStyle w:val="Quote"/>
        <w:spacing w:after="120"/>
      </w:pPr>
      <w:r w:rsidRPr="006F3A5D">
        <w:t>move ‘away from a fixation on the here and now, and beyond the who and what of democratic politics – who is going to get elected, what are they going to do? – to look at the how. How do democratic decisions get made and how can they be made differently? How can the consent of losers and outsiders be achieved? How can new social divisions be bridged? How can the use of technology be brought under democratic control? And if we can’t do these things, how will democracy not merely survive but flourish in the future? (</w:t>
      </w:r>
      <w:proofErr w:type="spellStart"/>
      <w:r w:rsidRPr="006F3A5D">
        <w:t>Foa</w:t>
      </w:r>
      <w:proofErr w:type="spellEnd"/>
      <w:r w:rsidRPr="006F3A5D">
        <w:t xml:space="preserve"> et al, Preface).</w:t>
      </w:r>
    </w:p>
    <w:p w14:paraId="710284E2"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the context of engaging young people with democratic institutions like parliament, this means that we need to move beyond the conventionally dominant ‘teacher/student’ frame.  This framing positions the adult or older person in the position of power, and the holder of knowledge and expertise, while the young person is conceptualised as a passive recipient of information or instruction.  This is limiting our ability to see and value the experiences and expertise held by young people, and skewing our view of the possible when it comes to youth-led democratic engagement.  As </w:t>
      </w:r>
      <w:r w:rsidRPr="006F3A5D">
        <w:rPr>
          <w:rFonts w:ascii="Times New Roman" w:hAnsi="Times New Roman" w:cs="Times New Roman"/>
          <w:shd w:val="clear" w:color="auto" w:fill="FFFFFF"/>
        </w:rPr>
        <w:t xml:space="preserve">Shephard and </w:t>
      </w:r>
      <w:proofErr w:type="spellStart"/>
      <w:r w:rsidRPr="006F3A5D">
        <w:rPr>
          <w:rFonts w:ascii="Times New Roman" w:hAnsi="Times New Roman" w:cs="Times New Roman"/>
          <w:shd w:val="clear" w:color="auto" w:fill="FFFFFF"/>
        </w:rPr>
        <w:t>Patrikios</w:t>
      </w:r>
      <w:proofErr w:type="spellEnd"/>
      <w:r w:rsidRPr="006F3A5D">
        <w:rPr>
          <w:rFonts w:ascii="Times New Roman" w:hAnsi="Times New Roman" w:cs="Times New Roman"/>
          <w:shd w:val="clear" w:color="auto" w:fill="FFFFFF"/>
        </w:rPr>
        <w:t xml:space="preserve"> observed in their 2013 research on youth parliaments (at p. 767):</w:t>
      </w:r>
    </w:p>
    <w:p w14:paraId="08B0C006" w14:textId="77777777" w:rsidR="00FA511E" w:rsidRPr="006F3A5D" w:rsidRDefault="00FA511E" w:rsidP="002D0CB1">
      <w:pPr>
        <w:pStyle w:val="Quote"/>
        <w:spacing w:after="120"/>
      </w:pPr>
      <w:r w:rsidRPr="006F3A5D">
        <w:t>[I]</w:t>
      </w:r>
      <w:proofErr w:type="spellStart"/>
      <w:r w:rsidRPr="006F3A5D">
        <w:t>nstitutions</w:t>
      </w:r>
      <w:proofErr w:type="spellEnd"/>
      <w:r w:rsidRPr="006F3A5D">
        <w:t xml:space="preserve"> rarely translate youth preferences and grievances into tangible and applicable policy outcomes. So, on the whole, Youth Parliaments do not fulfill their potential as direct channels that aggregate youth voice and transfer it to </w:t>
      </w:r>
      <w:proofErr w:type="gramStart"/>
      <w:r w:rsidRPr="006F3A5D">
        <w:t>policy-makers</w:t>
      </w:r>
      <w:proofErr w:type="gramEnd"/>
      <w:r w:rsidRPr="006F3A5D">
        <w:t xml:space="preserve"> (democratic function). Instead, activities are invariable focused upon socializing adolescents and young adults in the workings of a democratic polity (civic education). </w:t>
      </w:r>
    </w:p>
    <w:p w14:paraId="7FC36BA2" w14:textId="77777777" w:rsidR="00FA511E" w:rsidRPr="006F3A5D" w:rsidRDefault="00FA511E" w:rsidP="002D0CB1">
      <w:pPr>
        <w:spacing w:after="120" w:line="240" w:lineRule="auto"/>
        <w:rPr>
          <w:rFonts w:ascii="Times New Roman" w:hAnsi="Times New Roman" w:cs="Times New Roman"/>
        </w:rPr>
      </w:pPr>
      <w:r w:rsidRPr="006F3A5D">
        <w:rPr>
          <w:rFonts w:ascii="Times New Roman" w:hAnsi="Times New Roman" w:cs="Times New Roman"/>
        </w:rPr>
        <w:t>Institution-controlled and led engagement activities also run the risk of what Pease has described as members of privileged groups ‘reproducing privilege’ (2022, at p 15).  Pease explains:</w:t>
      </w:r>
    </w:p>
    <w:p w14:paraId="070534AB" w14:textId="77777777" w:rsidR="00FA511E" w:rsidRPr="006F3A5D" w:rsidRDefault="00FA511E" w:rsidP="002D0CB1">
      <w:pPr>
        <w:pStyle w:val="Quote"/>
        <w:spacing w:after="120"/>
      </w:pPr>
      <w:r w:rsidRPr="006F3A5D">
        <w:t>Members of dominant groups who have started to develop some awareness of their privileged position often look to oppressed groups to educate them.  In doing so, however, they reproduce their dominant position and do not take responsibility for their own learning.  While it is important that members of dominant groups make their practice accountable to oppressed groups, they need to take initiative in challenging their own and others’ privilege. (Pease, 2022, p.27)</w:t>
      </w:r>
    </w:p>
    <w:p w14:paraId="6DC23FB0"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These risks demand that we centre the key principles of youth-led, evidence-based, human rights informed approaches to youth engagement when we invest in public engagement activities in parliamentary settings.  This approach helps to address marginalisation and social distance and models a shift in power away from those experiencing privilege to those experiencing exclusion. </w:t>
      </w:r>
    </w:p>
    <w:p w14:paraId="50122C49"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above examples and insights also bring into sharp focus the need to accept that, as a community, we cannot separate democratic engagement from the substantive issues confronting young people, and the intergenerational inequalities that plague our political discourse and decision-making systems.  In other </w:t>
      </w:r>
      <w:r w:rsidRPr="006F3A5D">
        <w:rPr>
          <w:rFonts w:ascii="Times New Roman" w:hAnsi="Times New Roman" w:cs="Times New Roman"/>
        </w:rPr>
        <w:lastRenderedPageBreak/>
        <w:t>words, public institutions and public decision</w:t>
      </w:r>
      <w:r w:rsidRPr="006F3A5D">
        <w:rPr>
          <w:rFonts w:ascii="Times New Roman" w:hAnsi="Times New Roman" w:cs="Times New Roman"/>
        </w:rPr>
        <w:noBreakHyphen/>
        <w:t xml:space="preserve">makers need to demonstrate that they are prepared to engage in the type of power or privilege shifting that can bring about substantive policy change. </w:t>
      </w:r>
    </w:p>
    <w:p w14:paraId="6439D558"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The experiences of overseas jurisdictions also underscore the benefits of using evidence and data to target precious resources to maximum effect.  Good people and good programs around Australia are also already prioritising resources on those groups least likely to have access to parliamentary processes or practices, and those most at risk of marginalisation and isolation. But they face an uphill battle if we continue to take a fragmented, silo-ed approach that is often artificially circumscribed by government portfolios, short term funding models and jurisdictional eccentricities.  We need a multi-institutional, cross-jurisdictional investment in human and digital resources within parliaments, and data collection and research outside of parliament, to make the most of the pockets of best practice already happening on the ground in Australia.  Finally, we need to support youth-led movements in Australia to ensure equality of access to our political system, and to incentivise elected representatives to take the views and demands of young people seriously.  </w:t>
      </w:r>
    </w:p>
    <w:p w14:paraId="19BA6F3B"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I have attempted to outline how these components of a reconceptualised approach to democratic engagement fit together.  These concepts align closely with the guiding principles and key objectives outlined at the beginning of this Report and help inform the actions and toolkit indicators set out below.</w:t>
      </w:r>
    </w:p>
    <w:p w14:paraId="2049F13E" w14:textId="2F3EA57B" w:rsidR="00FA511E" w:rsidRPr="006F3A5D" w:rsidRDefault="00FA511E" w:rsidP="002D0CB1">
      <w:pPr>
        <w:spacing w:after="120" w:line="240" w:lineRule="auto"/>
        <w:rPr>
          <w:rFonts w:ascii="Times New Roman" w:hAnsi="Times New Roman" w:cs="Times New Roman"/>
          <w:b/>
          <w:bCs/>
        </w:rPr>
      </w:pPr>
      <w:r w:rsidRPr="006F3A5D">
        <w:rPr>
          <w:rFonts w:ascii="Times New Roman" w:hAnsi="Times New Roman" w:cs="Times New Roman"/>
          <w:b/>
          <w:bCs/>
          <w:noProof/>
        </w:rPr>
        <w:drawing>
          <wp:inline distT="0" distB="0" distL="0" distR="0" wp14:anchorId="65718D2C" wp14:editId="5041B78F">
            <wp:extent cx="5780405" cy="1595597"/>
            <wp:effectExtent l="0" t="0" r="10795" b="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76859A" w14:textId="77777777" w:rsidR="00FA511E" w:rsidRPr="00444A89" w:rsidRDefault="00FA511E" w:rsidP="002376DE">
      <w:pPr>
        <w:pStyle w:val="Heading3"/>
      </w:pPr>
      <w:bookmarkStart w:id="6" w:name="_Toc157765860"/>
      <w:r w:rsidRPr="00444A89">
        <w:t>Recommendations for Action … Now!</w:t>
      </w:r>
      <w:bookmarkEnd w:id="6"/>
    </w:p>
    <w:p w14:paraId="52F06D77"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In this section of the Report, I highlight some of the actions parliaments governments, research institutions and community organisations can take now to create catalysts for change and make progress towards reimagining youth engagement with parliaments in Australia. </w:t>
      </w:r>
    </w:p>
    <w:p w14:paraId="6CA44645" w14:textId="1082AAFC"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 xml:space="preserve">Many of these actions are already being undertaken, </w:t>
      </w:r>
      <w:proofErr w:type="gramStart"/>
      <w:r w:rsidRPr="006F3A5D">
        <w:rPr>
          <w:rFonts w:ascii="Times New Roman" w:hAnsi="Times New Roman" w:cs="Times New Roman"/>
        </w:rPr>
        <w:t>developed</w:t>
      </w:r>
      <w:proofErr w:type="gramEnd"/>
      <w:r w:rsidRPr="006F3A5D">
        <w:rPr>
          <w:rFonts w:ascii="Times New Roman" w:hAnsi="Times New Roman" w:cs="Times New Roman"/>
        </w:rPr>
        <w:t xml:space="preserve"> or reviewed by highly skilled and experienced youth service experts, Commissioners, government agencies and parliamentary engagement staff in Australia.  I</w:t>
      </w:r>
      <w:r w:rsidRPr="006F3A5D">
        <w:rPr>
          <w:rFonts w:ascii="Times New Roman" w:hAnsi="Times New Roman" w:cs="Times New Roman"/>
          <w:shd w:val="clear" w:color="auto" w:fill="FFFFFF" w:themeFill="background1"/>
        </w:rPr>
        <w:t>nstitutional and non</w:t>
      </w:r>
      <w:r w:rsidRPr="006F3A5D">
        <w:rPr>
          <w:rFonts w:ascii="Times New Roman" w:hAnsi="Times New Roman" w:cs="Times New Roman"/>
          <w:shd w:val="clear" w:color="auto" w:fill="FFFFFF" w:themeFill="background1"/>
        </w:rPr>
        <w:noBreakHyphen/>
        <w:t>institutional actors have a shared responsibility for implementing the below actions, which are designed to deliver shared, and long-lasting benefits and positive partnering opportunities.</w:t>
      </w:r>
      <w:r w:rsidRPr="006F3A5D">
        <w:rPr>
          <w:rFonts w:ascii="Times New Roman" w:hAnsi="Times New Roman" w:cs="Times New Roman"/>
        </w:rPr>
        <w:t xml:space="preserve">  However, the actions coloured in </w:t>
      </w:r>
      <w:r w:rsidRPr="006F3A5D">
        <w:rPr>
          <w:rFonts w:ascii="Times New Roman" w:hAnsi="Times New Roman" w:cs="Times New Roman"/>
          <w:color w:val="7030A0"/>
        </w:rPr>
        <w:t>purple</w:t>
      </w:r>
      <w:r w:rsidRPr="006F3A5D">
        <w:rPr>
          <w:rFonts w:ascii="Times New Roman" w:hAnsi="Times New Roman" w:cs="Times New Roman"/>
          <w:b/>
          <w:bCs/>
          <w:color w:val="7030A0"/>
        </w:rPr>
        <w:t xml:space="preserve"> </w:t>
      </w:r>
      <w:r w:rsidRPr="006F3A5D">
        <w:rPr>
          <w:rFonts w:ascii="Times New Roman" w:hAnsi="Times New Roman" w:cs="Times New Roman"/>
        </w:rPr>
        <w:t xml:space="preserve">fall within the </w:t>
      </w:r>
      <w:proofErr w:type="gramStart"/>
      <w:r w:rsidRPr="006F3A5D">
        <w:rPr>
          <w:rFonts w:ascii="Times New Roman" w:hAnsi="Times New Roman" w:cs="Times New Roman"/>
        </w:rPr>
        <w:t>particular domain</w:t>
      </w:r>
      <w:proofErr w:type="gramEnd"/>
      <w:r w:rsidRPr="006F3A5D">
        <w:rPr>
          <w:rFonts w:ascii="Times New Roman" w:hAnsi="Times New Roman" w:cs="Times New Roman"/>
        </w:rPr>
        <w:t xml:space="preserve"> of parliamentary services.  Many of these actions also align with the Connecting Youth to Parliament Toolkits set out below.</w:t>
      </w:r>
    </w:p>
    <w:p w14:paraId="7528AF50" w14:textId="77777777" w:rsidR="00FA511E" w:rsidRPr="006F3A5D" w:rsidRDefault="00FA511E" w:rsidP="002D0CB1">
      <w:pPr>
        <w:spacing w:after="120" w:line="240" w:lineRule="auto"/>
        <w:jc w:val="both"/>
        <w:rPr>
          <w:rFonts w:ascii="Times New Roman" w:hAnsi="Times New Roman" w:cs="Times New Roman"/>
        </w:rPr>
      </w:pPr>
      <w:r w:rsidRPr="006F3A5D">
        <w:rPr>
          <w:rFonts w:ascii="Times New Roman" w:hAnsi="Times New Roman" w:cs="Times New Roman"/>
        </w:rPr>
        <w:t>The actions identified below have also been selected having regard to the need to preserve the important representative and legislative functions of parliaments, and the independence and professionalism of parliamentary staff.  These actions are also designed to be achieved without requiring the allocation of substantial additional new resources, although they do envisage the leverage of win-win partnerships between parliaments, governments, local councils, research bodies and community organisations.</w:t>
      </w:r>
    </w:p>
    <w:p w14:paraId="3D64EEE7" w14:textId="77777777" w:rsidR="00FA511E" w:rsidRPr="006F3A5D" w:rsidRDefault="00FA511E" w:rsidP="002D0CB1">
      <w:pPr>
        <w:spacing w:after="120" w:line="240" w:lineRule="auto"/>
        <w:jc w:val="both"/>
        <w:rPr>
          <w:rFonts w:ascii="Times New Roman" w:hAnsi="Times New Roman" w:cs="Times New Roman"/>
        </w:rPr>
      </w:pPr>
    </w:p>
    <w:p w14:paraId="642DE630" w14:textId="77777777" w:rsidR="00FA511E" w:rsidRPr="006F3A5D" w:rsidRDefault="00FA511E" w:rsidP="002D0CB1">
      <w:pPr>
        <w:spacing w:after="120" w:line="240" w:lineRule="auto"/>
        <w:jc w:val="both"/>
        <w:rPr>
          <w:rFonts w:ascii="Times New Roman" w:hAnsi="Times New Roman" w:cs="Times New Roman"/>
        </w:rPr>
        <w:sectPr w:rsidR="00FA511E" w:rsidRPr="006F3A5D" w:rsidSect="00FA511E">
          <w:footerReference w:type="default" r:id="rId16"/>
          <w:footerReference w:type="first" r:id="rId17"/>
          <w:footnotePr>
            <w:numRestart w:val="eachSect"/>
          </w:footnotePr>
          <w:pgSz w:w="12240" w:h="15840"/>
          <w:pgMar w:top="1440" w:right="1440" w:bottom="1440" w:left="1440" w:header="288" w:footer="288" w:gutter="0"/>
          <w:cols w:space="720"/>
          <w:titlePg/>
          <w:docGrid w:linePitch="360"/>
        </w:sectPr>
      </w:pPr>
      <w:r w:rsidRPr="006F3A5D">
        <w:rPr>
          <w:rFonts w:ascii="Times New Roman" w:hAnsi="Times New Roman" w:cs="Times New Roman"/>
        </w:rPr>
        <w:t xml:space="preserve">. </w:t>
      </w:r>
    </w:p>
    <w:tbl>
      <w:tblPr>
        <w:tblStyle w:val="GridTable1Light-Accent5"/>
        <w:tblW w:w="13042" w:type="dxa"/>
        <w:tblLook w:val="04A0" w:firstRow="1" w:lastRow="0" w:firstColumn="1" w:lastColumn="0" w:noHBand="0" w:noVBand="1"/>
      </w:tblPr>
      <w:tblGrid>
        <w:gridCol w:w="1560"/>
        <w:gridCol w:w="1565"/>
        <w:gridCol w:w="2126"/>
        <w:gridCol w:w="7791"/>
      </w:tblGrid>
      <w:tr w:rsidR="00FA511E" w:rsidRPr="006F3A5D" w14:paraId="21FF2435" w14:textId="77777777" w:rsidTr="00D57B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FE4AA36" w14:textId="77777777" w:rsidR="00FA511E" w:rsidRPr="006F3A5D" w:rsidRDefault="00FA511E" w:rsidP="002D0CB1">
            <w:pPr>
              <w:spacing w:after="120"/>
              <w:rPr>
                <w:rFonts w:ascii="Times New Roman" w:hAnsi="Times New Roman" w:cs="Times New Roman"/>
              </w:rPr>
            </w:pPr>
            <w:r w:rsidRPr="006F3A5D">
              <w:rPr>
                <w:rFonts w:ascii="Times New Roman" w:hAnsi="Times New Roman" w:cs="Times New Roman"/>
              </w:rPr>
              <w:lastRenderedPageBreak/>
              <w:t xml:space="preserve">Guiding Principle </w:t>
            </w:r>
          </w:p>
        </w:tc>
        <w:tc>
          <w:tcPr>
            <w:tcW w:w="1565" w:type="dxa"/>
          </w:tcPr>
          <w:p w14:paraId="1262AD3E" w14:textId="77777777" w:rsidR="00FA511E" w:rsidRPr="006F3A5D" w:rsidRDefault="00FA511E" w:rsidP="002D0CB1">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Key Objective </w:t>
            </w:r>
          </w:p>
        </w:tc>
        <w:tc>
          <w:tcPr>
            <w:tcW w:w="2126" w:type="dxa"/>
          </w:tcPr>
          <w:p w14:paraId="6E9CCBE8" w14:textId="77777777" w:rsidR="00FA511E" w:rsidRPr="006F3A5D" w:rsidRDefault="00FA511E" w:rsidP="002D0CB1">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Catalyst for change</w:t>
            </w:r>
          </w:p>
        </w:tc>
        <w:tc>
          <w:tcPr>
            <w:tcW w:w="7791" w:type="dxa"/>
          </w:tcPr>
          <w:p w14:paraId="10477FD1" w14:textId="77777777" w:rsidR="00FA511E" w:rsidRPr="006F3A5D" w:rsidRDefault="00FA511E" w:rsidP="002D0CB1">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Action we can take NOW</w:t>
            </w:r>
          </w:p>
        </w:tc>
      </w:tr>
      <w:tr w:rsidR="00FA511E" w:rsidRPr="006F3A5D" w14:paraId="78415A32"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541CD055"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Youth-led</w:t>
            </w:r>
          </w:p>
        </w:tc>
        <w:tc>
          <w:tcPr>
            <w:tcW w:w="1565" w:type="dxa"/>
          </w:tcPr>
          <w:p w14:paraId="707126DD"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3FECF242"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t>Rebuild Trust</w:t>
            </w:r>
          </w:p>
        </w:tc>
        <w:tc>
          <w:tcPr>
            <w:tcW w:w="2126" w:type="dxa"/>
          </w:tcPr>
          <w:p w14:paraId="00169F2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Institutional disruption</w:t>
            </w:r>
          </w:p>
          <w:p w14:paraId="7EE35D9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More young MPs</w:t>
            </w:r>
          </w:p>
          <w:p w14:paraId="738AA1A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791" w:type="dxa"/>
          </w:tcPr>
          <w:p w14:paraId="286880E0"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Endorse and profile the work of youth-led advocacy including Run for It and Make it 16 by tracking progress towards minimum of 12.5% representation of under 35s in local councils and federal, state and territory </w:t>
            </w:r>
            <w:proofErr w:type="gramStart"/>
            <w:r w:rsidRPr="006F3A5D">
              <w:rPr>
                <w:rFonts w:ascii="Times New Roman" w:hAnsi="Times New Roman" w:cs="Times New Roman"/>
              </w:rPr>
              <w:t>parliaments</w:t>
            </w:r>
            <w:proofErr w:type="gramEnd"/>
          </w:p>
          <w:p w14:paraId="4C24D8E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Facilitate upward mentoring for key political figures at State and Federal level.</w:t>
            </w:r>
          </w:p>
          <w:p w14:paraId="3CA30E35"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Engage in partnered research to evaluate existing approaches to improving youth representation in elected </w:t>
            </w:r>
            <w:proofErr w:type="gramStart"/>
            <w:r w:rsidRPr="006F3A5D">
              <w:rPr>
                <w:rFonts w:ascii="Times New Roman" w:hAnsi="Times New Roman" w:cs="Times New Roman"/>
              </w:rPr>
              <w:t>positions</w:t>
            </w:r>
            <w:proofErr w:type="gramEnd"/>
          </w:p>
          <w:p w14:paraId="5664E8B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Survey existing political parties for initial responses to the idea of developing targets or quotas for young people in pre-selection processes</w:t>
            </w:r>
          </w:p>
        </w:tc>
      </w:tr>
      <w:tr w:rsidR="00FA511E" w:rsidRPr="006F3A5D" w14:paraId="261CF8F3"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7E2E3190"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Youth-led</w:t>
            </w:r>
          </w:p>
        </w:tc>
        <w:tc>
          <w:tcPr>
            <w:tcW w:w="1565" w:type="dxa"/>
          </w:tcPr>
          <w:p w14:paraId="4D3055D3"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52596AE0"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t>Rebuild Trust</w:t>
            </w:r>
          </w:p>
        </w:tc>
        <w:tc>
          <w:tcPr>
            <w:tcW w:w="2126" w:type="dxa"/>
          </w:tcPr>
          <w:p w14:paraId="4B65EA7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Institutional disruption</w:t>
            </w:r>
          </w:p>
          <w:p w14:paraId="1FDFCD7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Lower voting age to 16 years</w:t>
            </w:r>
          </w:p>
        </w:tc>
        <w:tc>
          <w:tcPr>
            <w:tcW w:w="7791" w:type="dxa"/>
          </w:tcPr>
          <w:p w14:paraId="67D91A1A"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Endorse and profile the work of youth-led advocacy including </w:t>
            </w:r>
            <w:r w:rsidRPr="006F3A5D">
              <w:rPr>
                <w:rFonts w:ascii="Times New Roman" w:hAnsi="Times New Roman" w:cs="Times New Roman"/>
                <w:i/>
                <w:iCs/>
              </w:rPr>
              <w:t>Run for It</w:t>
            </w:r>
            <w:r w:rsidRPr="006F3A5D">
              <w:rPr>
                <w:rFonts w:ascii="Times New Roman" w:hAnsi="Times New Roman" w:cs="Times New Roman"/>
              </w:rPr>
              <w:t xml:space="preserve"> and </w:t>
            </w:r>
            <w:r w:rsidRPr="006F3A5D">
              <w:rPr>
                <w:rFonts w:ascii="Times New Roman" w:hAnsi="Times New Roman" w:cs="Times New Roman"/>
                <w:i/>
                <w:iCs/>
              </w:rPr>
              <w:t>Make it 16</w:t>
            </w:r>
            <w:r w:rsidRPr="006F3A5D">
              <w:rPr>
                <w:rFonts w:ascii="Times New Roman" w:hAnsi="Times New Roman" w:cs="Times New Roman"/>
              </w:rPr>
              <w:t xml:space="preserve"> including through co-hosting forums with Australian Electoral Commission and Local Government Associations</w:t>
            </w:r>
          </w:p>
          <w:p w14:paraId="0ECB3E2D"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Draft legislative amendments to existing Electoral Acts, having regard to recent efforts </w:t>
            </w:r>
            <w:proofErr w:type="spellStart"/>
            <w:r w:rsidRPr="006F3A5D">
              <w:rPr>
                <w:rFonts w:ascii="Times New Roman" w:hAnsi="Times New Roman" w:cs="Times New Roman"/>
              </w:rPr>
              <w:t>eg</w:t>
            </w:r>
            <w:proofErr w:type="spellEnd"/>
            <w:r w:rsidRPr="006F3A5D">
              <w:rPr>
                <w:rFonts w:ascii="Times New Roman" w:hAnsi="Times New Roman" w:cs="Times New Roman"/>
              </w:rPr>
              <w:t xml:space="preserve"> Electoral (Lowering Voting Age for Local Elections and Polls) Legislation Bill (NZ) 2023, Commonwealth Electoral Amendment (Lowering Voting Age and Increasing Voter Participation) Bill 2018 (</w:t>
            </w:r>
            <w:proofErr w:type="spellStart"/>
            <w:r w:rsidRPr="006F3A5D">
              <w:rPr>
                <w:rFonts w:ascii="Times New Roman" w:hAnsi="Times New Roman" w:cs="Times New Roman"/>
              </w:rPr>
              <w:t>Cth</w:t>
            </w:r>
            <w:proofErr w:type="spellEnd"/>
            <w:r w:rsidRPr="006F3A5D">
              <w:rPr>
                <w:rFonts w:ascii="Times New Roman" w:hAnsi="Times New Roman" w:cs="Times New Roman"/>
              </w:rPr>
              <w:t>)</w:t>
            </w:r>
          </w:p>
        </w:tc>
      </w:tr>
      <w:tr w:rsidR="00FA511E" w:rsidRPr="006F3A5D" w14:paraId="09E27095"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40874962"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 xml:space="preserve">Youth </w:t>
            </w:r>
            <w:proofErr w:type="gramStart"/>
            <w:r w:rsidRPr="006F3A5D">
              <w:rPr>
                <w:rFonts w:ascii="Times New Roman" w:hAnsi="Times New Roman" w:cs="Times New Roman"/>
                <w:b w:val="0"/>
                <w:bCs w:val="0"/>
                <w:lang w:val="en-AU"/>
              </w:rPr>
              <w:t>led</w:t>
            </w:r>
            <w:proofErr w:type="gramEnd"/>
          </w:p>
          <w:p w14:paraId="21171CE7"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Evidence-based</w:t>
            </w:r>
          </w:p>
          <w:p w14:paraId="0EBC9DC4" w14:textId="77777777" w:rsidR="00FA511E" w:rsidRPr="006F3A5D" w:rsidRDefault="00FA511E" w:rsidP="002D0CB1">
            <w:pPr>
              <w:spacing w:after="120"/>
              <w:rPr>
                <w:rFonts w:ascii="Times New Roman" w:hAnsi="Times New Roman" w:cs="Times New Roman"/>
                <w:b w:val="0"/>
                <w:bCs w:val="0"/>
                <w:lang w:val="en-AU"/>
              </w:rPr>
            </w:pPr>
          </w:p>
        </w:tc>
        <w:tc>
          <w:tcPr>
            <w:tcW w:w="1565" w:type="dxa"/>
          </w:tcPr>
          <w:p w14:paraId="74FD257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2E9442F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tcPr>
          <w:p w14:paraId="08D8EE3F"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Institutional disruption</w:t>
            </w:r>
          </w:p>
          <w:p w14:paraId="0538A070"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 xml:space="preserve">Prompt consideration of impact of laws, </w:t>
            </w:r>
            <w:proofErr w:type="gramStart"/>
            <w:r w:rsidRPr="006F3A5D">
              <w:rPr>
                <w:rFonts w:ascii="Times New Roman" w:hAnsi="Times New Roman" w:cs="Times New Roman"/>
                <w:i/>
                <w:iCs/>
              </w:rPr>
              <w:t>policies</w:t>
            </w:r>
            <w:proofErr w:type="gramEnd"/>
            <w:r w:rsidRPr="006F3A5D">
              <w:rPr>
                <w:rFonts w:ascii="Times New Roman" w:hAnsi="Times New Roman" w:cs="Times New Roman"/>
                <w:i/>
                <w:iCs/>
              </w:rPr>
              <w:t xml:space="preserve"> and public decisions on lives of young people</w:t>
            </w:r>
          </w:p>
        </w:tc>
        <w:tc>
          <w:tcPr>
            <w:tcW w:w="7791" w:type="dxa"/>
          </w:tcPr>
          <w:p w14:paraId="686F88FB"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F3A5D">
              <w:rPr>
                <w:rFonts w:ascii="Times New Roman" w:hAnsi="Times New Roman" w:cs="Times New Roman"/>
              </w:rPr>
              <w:t>Utilise</w:t>
            </w:r>
            <w:proofErr w:type="spellEnd"/>
            <w:r w:rsidRPr="006F3A5D">
              <w:rPr>
                <w:rFonts w:ascii="Times New Roman" w:hAnsi="Times New Roman" w:cs="Times New Roman"/>
              </w:rPr>
              <w:t xml:space="preserve"> existing Youth Councils in each Australian jurisdiction to co-design a </w:t>
            </w:r>
            <w:r w:rsidRPr="006F3A5D">
              <w:rPr>
                <w:rFonts w:ascii="Times New Roman" w:hAnsi="Times New Roman" w:cs="Times New Roman"/>
                <w:i/>
                <w:iCs/>
              </w:rPr>
              <w:t xml:space="preserve">Future Generation Act, </w:t>
            </w:r>
            <w:r w:rsidRPr="006F3A5D">
              <w:rPr>
                <w:rFonts w:ascii="Times New Roman" w:hAnsi="Times New Roman" w:cs="Times New Roman"/>
              </w:rPr>
              <w:t xml:space="preserve">informed by the Welsh </w:t>
            </w:r>
            <w:proofErr w:type="gramStart"/>
            <w:r w:rsidRPr="006F3A5D">
              <w:rPr>
                <w:rFonts w:ascii="Times New Roman" w:hAnsi="Times New Roman" w:cs="Times New Roman"/>
              </w:rPr>
              <w:t>model</w:t>
            </w:r>
            <w:proofErr w:type="gramEnd"/>
          </w:p>
          <w:p w14:paraId="19E6EA0A"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Use the recent </w:t>
            </w:r>
            <w:r w:rsidRPr="006F3A5D">
              <w:rPr>
                <w:rFonts w:ascii="Times New Roman" w:hAnsi="Times New Roman" w:cs="Times New Roman"/>
                <w:i/>
                <w:iCs/>
              </w:rPr>
              <w:t>Intergenerational Report</w:t>
            </w:r>
            <w:r w:rsidRPr="006F3A5D">
              <w:rPr>
                <w:rFonts w:ascii="Times New Roman" w:hAnsi="Times New Roman" w:cs="Times New Roman"/>
              </w:rPr>
              <w:t xml:space="preserve"> (2023) to identify key policy priorities for reform, and co-design ‘dashboard’ to monitor progress.</w:t>
            </w:r>
          </w:p>
          <w:p w14:paraId="4AAD47D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Support independent research into drivers of inequality in Australia similar to TASC </w:t>
            </w:r>
            <w:r w:rsidRPr="006F3A5D">
              <w:rPr>
                <w:rFonts w:ascii="Times New Roman" w:hAnsi="Times New Roman" w:cs="Times New Roman"/>
                <w:i/>
                <w:iCs/>
              </w:rPr>
              <w:t xml:space="preserve">The State we are </w:t>
            </w:r>
            <w:proofErr w:type="gramStart"/>
            <w:r w:rsidRPr="006F3A5D">
              <w:rPr>
                <w:rFonts w:ascii="Times New Roman" w:hAnsi="Times New Roman" w:cs="Times New Roman"/>
                <w:i/>
                <w:iCs/>
              </w:rPr>
              <w:t>in:</w:t>
            </w:r>
            <w:proofErr w:type="gramEnd"/>
            <w:r w:rsidRPr="006F3A5D">
              <w:rPr>
                <w:rFonts w:ascii="Times New Roman" w:hAnsi="Times New Roman" w:cs="Times New Roman"/>
                <w:i/>
                <w:iCs/>
              </w:rPr>
              <w:t xml:space="preserve"> inequality in Ireland 2023 Report</w:t>
            </w:r>
            <w:r w:rsidRPr="006F3A5D">
              <w:rPr>
                <w:rFonts w:ascii="Times New Roman" w:hAnsi="Times New Roman" w:cs="Times New Roman"/>
              </w:rPr>
              <w:t xml:space="preserve"> </w:t>
            </w:r>
          </w:p>
          <w:p w14:paraId="74A9E482"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Pilot ‘micro-loans’ projects administered by local councils to facilitate youth-led consultation in </w:t>
            </w:r>
            <w:proofErr w:type="spellStart"/>
            <w:r w:rsidRPr="006F3A5D">
              <w:rPr>
                <w:rFonts w:ascii="Times New Roman" w:hAnsi="Times New Roman" w:cs="Times New Roman"/>
              </w:rPr>
              <w:t>marginalised</w:t>
            </w:r>
            <w:proofErr w:type="spellEnd"/>
            <w:r w:rsidRPr="006F3A5D">
              <w:rPr>
                <w:rFonts w:ascii="Times New Roman" w:hAnsi="Times New Roman" w:cs="Times New Roman"/>
              </w:rPr>
              <w:t xml:space="preserve"> communities to identify key policy and legislative </w:t>
            </w:r>
            <w:proofErr w:type="gramStart"/>
            <w:r w:rsidRPr="006F3A5D">
              <w:rPr>
                <w:rFonts w:ascii="Times New Roman" w:hAnsi="Times New Roman" w:cs="Times New Roman"/>
              </w:rPr>
              <w:t>priorities</w:t>
            </w:r>
            <w:proofErr w:type="gramEnd"/>
          </w:p>
          <w:p w14:paraId="34B05486"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rPr>
              <w:t xml:space="preserve">Invest in Australia-wide youth surveys (such as Mission Australia Youth Survey) to prompt collection of depth of data </w:t>
            </w:r>
            <w:proofErr w:type="gramStart"/>
            <w:r w:rsidRPr="006F3A5D">
              <w:rPr>
                <w:rFonts w:ascii="Times New Roman" w:hAnsi="Times New Roman" w:cs="Times New Roman"/>
              </w:rPr>
              <w:t>similar to</w:t>
            </w:r>
            <w:proofErr w:type="gramEnd"/>
            <w:r w:rsidRPr="006F3A5D">
              <w:rPr>
                <w:rFonts w:ascii="Times New Roman" w:hAnsi="Times New Roman" w:cs="Times New Roman"/>
              </w:rPr>
              <w:t xml:space="preserve"> </w:t>
            </w:r>
            <w:r w:rsidRPr="006F3A5D">
              <w:rPr>
                <w:rFonts w:ascii="Times New Roman" w:hAnsi="Times New Roman" w:cs="Times New Roman"/>
                <w:i/>
                <w:iCs/>
              </w:rPr>
              <w:t>Make Your Mark</w:t>
            </w:r>
            <w:r w:rsidRPr="006F3A5D">
              <w:rPr>
                <w:rFonts w:ascii="Times New Roman" w:hAnsi="Times New Roman" w:cs="Times New Roman"/>
              </w:rPr>
              <w:t xml:space="preserve"> and </w:t>
            </w:r>
            <w:r w:rsidRPr="006F3A5D">
              <w:rPr>
                <w:rFonts w:ascii="Times New Roman" w:hAnsi="Times New Roman" w:cs="Times New Roman"/>
                <w:i/>
                <w:iCs/>
              </w:rPr>
              <w:t>The Big Ask Survey</w:t>
            </w:r>
          </w:p>
          <w:p w14:paraId="6BA777E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p>
          <w:p w14:paraId="12B020A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A511E" w:rsidRPr="006F3A5D" w14:paraId="781B68D2"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4F05AE8A"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lastRenderedPageBreak/>
              <w:t xml:space="preserve">Human Rights, Respect First Nations </w:t>
            </w:r>
          </w:p>
          <w:p w14:paraId="2805B6A1" w14:textId="77777777" w:rsidR="00FA511E" w:rsidRPr="006F3A5D" w:rsidRDefault="00FA511E" w:rsidP="002D0CB1">
            <w:pPr>
              <w:spacing w:after="120"/>
              <w:rPr>
                <w:rFonts w:ascii="Times New Roman" w:hAnsi="Times New Roman" w:cs="Times New Roman"/>
                <w:b w:val="0"/>
                <w:bCs w:val="0"/>
              </w:rPr>
            </w:pPr>
          </w:p>
        </w:tc>
        <w:tc>
          <w:tcPr>
            <w:tcW w:w="1565" w:type="dxa"/>
          </w:tcPr>
          <w:p w14:paraId="7E3C17CD"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Shift Inequality</w:t>
            </w:r>
          </w:p>
          <w:p w14:paraId="626A011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 xml:space="preserve">Broaden what counts as democratic </w:t>
            </w:r>
            <w:proofErr w:type="gramStart"/>
            <w:r w:rsidRPr="006F3A5D">
              <w:rPr>
                <w:rFonts w:ascii="Times New Roman" w:hAnsi="Times New Roman" w:cs="Times New Roman"/>
                <w:lang w:val="en-AU"/>
              </w:rPr>
              <w:t>engagement</w:t>
            </w:r>
            <w:proofErr w:type="gramEnd"/>
          </w:p>
          <w:p w14:paraId="17B8C5A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tcPr>
          <w:p w14:paraId="268403B2"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Institutional disruption</w:t>
            </w:r>
          </w:p>
          <w:p w14:paraId="318E7D96"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 xml:space="preserve">Adopt effective human rights frameworks </w:t>
            </w:r>
          </w:p>
        </w:tc>
        <w:tc>
          <w:tcPr>
            <w:tcW w:w="7791" w:type="dxa"/>
          </w:tcPr>
          <w:p w14:paraId="4274A6A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Facilitate youth access to public inquiries into human rights frameworks at local, </w:t>
            </w:r>
            <w:proofErr w:type="gramStart"/>
            <w:r w:rsidRPr="006F3A5D">
              <w:rPr>
                <w:rFonts w:ascii="Times New Roman" w:hAnsi="Times New Roman" w:cs="Times New Roman"/>
                <w:color w:val="7030A0"/>
              </w:rPr>
              <w:t>state</w:t>
            </w:r>
            <w:proofErr w:type="gramEnd"/>
            <w:r w:rsidRPr="006F3A5D">
              <w:rPr>
                <w:rFonts w:ascii="Times New Roman" w:hAnsi="Times New Roman" w:cs="Times New Roman"/>
                <w:color w:val="7030A0"/>
              </w:rPr>
              <w:t xml:space="preserve"> and federal level including current parliamentary inquiries taken place at federal level and in South Australia</w:t>
            </w:r>
          </w:p>
          <w:p w14:paraId="10293EBD"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Co-host youth-led workshops on human rights issues in local </w:t>
            </w:r>
            <w:proofErr w:type="gramStart"/>
            <w:r w:rsidRPr="006F3A5D">
              <w:rPr>
                <w:rFonts w:ascii="Times New Roman" w:hAnsi="Times New Roman" w:cs="Times New Roman"/>
              </w:rPr>
              <w:t>constituencies</w:t>
            </w:r>
            <w:proofErr w:type="gramEnd"/>
            <w:r w:rsidRPr="006F3A5D">
              <w:rPr>
                <w:rFonts w:ascii="Times New Roman" w:hAnsi="Times New Roman" w:cs="Times New Roman"/>
              </w:rPr>
              <w:t xml:space="preserve"> </w:t>
            </w:r>
          </w:p>
          <w:p w14:paraId="1958A0B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Consult with Australian Human Rights Commission and state and territory counterparts about existing and proposed youth engagement strategies</w:t>
            </w:r>
          </w:p>
        </w:tc>
      </w:tr>
      <w:tr w:rsidR="00FA511E" w:rsidRPr="006F3A5D" w14:paraId="2D44AE66"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4E912B49"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Evidence-based</w:t>
            </w:r>
          </w:p>
        </w:tc>
        <w:tc>
          <w:tcPr>
            <w:tcW w:w="1565" w:type="dxa"/>
          </w:tcPr>
          <w:p w14:paraId="3236780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6EA826B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t>Rebuild Trust</w:t>
            </w:r>
          </w:p>
        </w:tc>
        <w:tc>
          <w:tcPr>
            <w:tcW w:w="2126" w:type="dxa"/>
          </w:tcPr>
          <w:p w14:paraId="43E344A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Internal cultural shift</w:t>
            </w:r>
          </w:p>
          <w:p w14:paraId="00CE9238"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 xml:space="preserve">Know more about who is disconnected and </w:t>
            </w:r>
            <w:proofErr w:type="gramStart"/>
            <w:r w:rsidRPr="006F3A5D">
              <w:rPr>
                <w:rFonts w:ascii="Times New Roman" w:hAnsi="Times New Roman" w:cs="Times New Roman"/>
                <w:i/>
                <w:iCs/>
              </w:rPr>
              <w:t>why</w:t>
            </w:r>
            <w:proofErr w:type="gramEnd"/>
          </w:p>
          <w:p w14:paraId="0FCC1B0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791" w:type="dxa"/>
          </w:tcPr>
          <w:p w14:paraId="2434B2B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Partner with existing networks and research centers to better understand whose voices are not being heard and why (e.g. House of Commons Library Briefing Paper 2021, Political disengagement in the UK: who is disengaged?) </w:t>
            </w:r>
          </w:p>
          <w:p w14:paraId="14B98C36"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color w:val="7030A0"/>
              </w:rPr>
              <w:t xml:space="preserve">Research partners could </w:t>
            </w:r>
            <w:proofErr w:type="gramStart"/>
            <w:r w:rsidRPr="006F3A5D">
              <w:rPr>
                <w:rFonts w:ascii="Times New Roman" w:hAnsi="Times New Roman" w:cs="Times New Roman"/>
                <w:color w:val="7030A0"/>
              </w:rPr>
              <w:t>include:</w:t>
            </w:r>
            <w:proofErr w:type="gramEnd"/>
            <w:r w:rsidRPr="006F3A5D">
              <w:rPr>
                <w:rFonts w:ascii="Times New Roman" w:hAnsi="Times New Roman" w:cs="Times New Roman"/>
                <w:color w:val="7030A0"/>
              </w:rPr>
              <w:t xml:space="preserve"> International Parliament Engagement Network; Aboriginal Research </w:t>
            </w:r>
            <w:proofErr w:type="spellStart"/>
            <w:r w:rsidRPr="006F3A5D">
              <w:rPr>
                <w:rFonts w:ascii="Times New Roman" w:hAnsi="Times New Roman" w:cs="Times New Roman"/>
                <w:color w:val="7030A0"/>
              </w:rPr>
              <w:t>Centres</w:t>
            </w:r>
            <w:proofErr w:type="spellEnd"/>
            <w:r w:rsidRPr="006F3A5D">
              <w:rPr>
                <w:rFonts w:ascii="Times New Roman" w:hAnsi="Times New Roman" w:cs="Times New Roman"/>
                <w:color w:val="7030A0"/>
              </w:rPr>
              <w:t xml:space="preserve">; Youth Advisory Councils; University based </w:t>
            </w:r>
            <w:proofErr w:type="spellStart"/>
            <w:r w:rsidRPr="006F3A5D">
              <w:rPr>
                <w:rFonts w:ascii="Times New Roman" w:hAnsi="Times New Roman" w:cs="Times New Roman"/>
                <w:color w:val="7030A0"/>
              </w:rPr>
              <w:t>centres</w:t>
            </w:r>
            <w:proofErr w:type="spellEnd"/>
            <w:r w:rsidRPr="006F3A5D">
              <w:rPr>
                <w:rFonts w:ascii="Times New Roman" w:hAnsi="Times New Roman" w:cs="Times New Roman"/>
                <w:color w:val="7030A0"/>
              </w:rPr>
              <w:t xml:space="preserve"> for Democratic Governance or Parliamentary Studies; Australasian Study of Parliament Group</w:t>
            </w:r>
          </w:p>
        </w:tc>
      </w:tr>
      <w:tr w:rsidR="00FA511E" w:rsidRPr="006F3A5D" w14:paraId="479459DF"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3EE358C8"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Youth-led</w:t>
            </w:r>
          </w:p>
          <w:p w14:paraId="32D1CB0F"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Inclusive &amp; Empowering</w:t>
            </w:r>
          </w:p>
          <w:p w14:paraId="3567CAE1"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 xml:space="preserve">Respect First Nations </w:t>
            </w:r>
          </w:p>
          <w:p w14:paraId="69DED7B4" w14:textId="77777777" w:rsidR="00FA511E" w:rsidRPr="006F3A5D" w:rsidRDefault="00FA511E" w:rsidP="002D0CB1">
            <w:pPr>
              <w:spacing w:after="120"/>
              <w:rPr>
                <w:rFonts w:ascii="Times New Roman" w:hAnsi="Times New Roman" w:cs="Times New Roman"/>
                <w:b w:val="0"/>
                <w:bCs w:val="0"/>
                <w:lang w:val="en-AU"/>
              </w:rPr>
            </w:pPr>
          </w:p>
        </w:tc>
        <w:tc>
          <w:tcPr>
            <w:tcW w:w="1565" w:type="dxa"/>
          </w:tcPr>
          <w:p w14:paraId="2505F68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70D030BF"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t>Rebuild Trust</w:t>
            </w:r>
          </w:p>
        </w:tc>
        <w:tc>
          <w:tcPr>
            <w:tcW w:w="2126" w:type="dxa"/>
          </w:tcPr>
          <w:p w14:paraId="7DEB120F"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Internal cultural shift</w:t>
            </w:r>
          </w:p>
          <w:p w14:paraId="3E20C143"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 xml:space="preserve">Know how to reach disengaged groups and be seen as a legitimate, trusted </w:t>
            </w:r>
            <w:proofErr w:type="gramStart"/>
            <w:r w:rsidRPr="006F3A5D">
              <w:rPr>
                <w:rFonts w:ascii="Times New Roman" w:hAnsi="Times New Roman" w:cs="Times New Roman"/>
                <w:i/>
                <w:iCs/>
              </w:rPr>
              <w:t>partner</w:t>
            </w:r>
            <w:proofErr w:type="gramEnd"/>
          </w:p>
          <w:p w14:paraId="09A2EBE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791" w:type="dxa"/>
          </w:tcPr>
          <w:p w14:paraId="4A40B81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proofErr w:type="spellStart"/>
            <w:r w:rsidRPr="006F3A5D">
              <w:rPr>
                <w:rFonts w:ascii="Times New Roman" w:hAnsi="Times New Roman" w:cs="Times New Roman"/>
                <w:color w:val="7030A0"/>
              </w:rPr>
              <w:t>Utilise</w:t>
            </w:r>
            <w:proofErr w:type="spellEnd"/>
            <w:r w:rsidRPr="006F3A5D">
              <w:rPr>
                <w:rFonts w:ascii="Times New Roman" w:hAnsi="Times New Roman" w:cs="Times New Roman"/>
                <w:color w:val="7030A0"/>
              </w:rPr>
              <w:t xml:space="preserve"> existing networks of Parliamentary Education, Outreach and Engagement Officers in Australia to map best practice and identify areas in need of future investment.</w:t>
            </w:r>
          </w:p>
          <w:p w14:paraId="2FE3F70B"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Partner with demographic researchers to identify local constituencies experiencing multiple barriers to engagement with parliamentary practices and </w:t>
            </w:r>
            <w:proofErr w:type="gramStart"/>
            <w:r w:rsidRPr="006F3A5D">
              <w:rPr>
                <w:rFonts w:ascii="Times New Roman" w:hAnsi="Times New Roman" w:cs="Times New Roman"/>
                <w:color w:val="7030A0"/>
              </w:rPr>
              <w:t>processes</w:t>
            </w:r>
            <w:proofErr w:type="gramEnd"/>
          </w:p>
          <w:p w14:paraId="578937E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Co-host forums with peak social service bodies (including ACOSS) and Aboriginal and First Nations bodies to identify potential partners for developing safe relationships with </w:t>
            </w:r>
            <w:proofErr w:type="spellStart"/>
            <w:r w:rsidRPr="006F3A5D">
              <w:rPr>
                <w:rFonts w:ascii="Times New Roman" w:hAnsi="Times New Roman" w:cs="Times New Roman"/>
                <w:color w:val="7030A0"/>
              </w:rPr>
              <w:t>marginalised</w:t>
            </w:r>
            <w:proofErr w:type="spellEnd"/>
            <w:r w:rsidRPr="006F3A5D">
              <w:rPr>
                <w:rFonts w:ascii="Times New Roman" w:hAnsi="Times New Roman" w:cs="Times New Roman"/>
                <w:color w:val="7030A0"/>
              </w:rPr>
              <w:t xml:space="preserve"> </w:t>
            </w:r>
            <w:proofErr w:type="gramStart"/>
            <w:r w:rsidRPr="006F3A5D">
              <w:rPr>
                <w:rFonts w:ascii="Times New Roman" w:hAnsi="Times New Roman" w:cs="Times New Roman"/>
                <w:color w:val="7030A0"/>
              </w:rPr>
              <w:t>communities</w:t>
            </w:r>
            <w:proofErr w:type="gramEnd"/>
            <w:r w:rsidRPr="006F3A5D">
              <w:rPr>
                <w:rFonts w:ascii="Times New Roman" w:hAnsi="Times New Roman" w:cs="Times New Roman"/>
                <w:color w:val="7030A0"/>
              </w:rPr>
              <w:t xml:space="preserve"> </w:t>
            </w:r>
          </w:p>
          <w:p w14:paraId="4632DA75"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Partner with youth-led </w:t>
            </w:r>
            <w:proofErr w:type="spellStart"/>
            <w:r w:rsidRPr="006F3A5D">
              <w:rPr>
                <w:rFonts w:ascii="Times New Roman" w:hAnsi="Times New Roman" w:cs="Times New Roman"/>
                <w:color w:val="7030A0"/>
              </w:rPr>
              <w:t>organisations</w:t>
            </w:r>
            <w:proofErr w:type="spellEnd"/>
            <w:r w:rsidRPr="006F3A5D">
              <w:rPr>
                <w:rFonts w:ascii="Times New Roman" w:hAnsi="Times New Roman" w:cs="Times New Roman"/>
                <w:color w:val="7030A0"/>
              </w:rPr>
              <w:t xml:space="preserve"> to develop training materials and guidance for parliamentary staff and engagement teams, e.g. Young Manchester, Sharing Power in a Place Report 2023</w:t>
            </w:r>
          </w:p>
          <w:p w14:paraId="27F39B2A"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6F3A5D">
              <w:rPr>
                <w:rFonts w:ascii="Times New Roman" w:hAnsi="Times New Roman" w:cs="Times New Roman"/>
                <w:color w:val="7030A0"/>
              </w:rPr>
              <w:t xml:space="preserve">Create opportunities to celebrate and invest in positive relationships between community </w:t>
            </w:r>
            <w:proofErr w:type="spellStart"/>
            <w:r w:rsidRPr="006F3A5D">
              <w:rPr>
                <w:rFonts w:ascii="Times New Roman" w:hAnsi="Times New Roman" w:cs="Times New Roman"/>
                <w:color w:val="7030A0"/>
              </w:rPr>
              <w:t>organisations</w:t>
            </w:r>
            <w:proofErr w:type="spellEnd"/>
            <w:r w:rsidRPr="006F3A5D">
              <w:rPr>
                <w:rFonts w:ascii="Times New Roman" w:hAnsi="Times New Roman" w:cs="Times New Roman"/>
                <w:color w:val="7030A0"/>
              </w:rPr>
              <w:t xml:space="preserve">, experts and institutions, </w:t>
            </w:r>
            <w:proofErr w:type="spellStart"/>
            <w:r w:rsidRPr="006F3A5D">
              <w:rPr>
                <w:rFonts w:ascii="Times New Roman" w:hAnsi="Times New Roman" w:cs="Times New Roman"/>
                <w:color w:val="7030A0"/>
              </w:rPr>
              <w:t>e.g</w:t>
            </w:r>
            <w:proofErr w:type="spellEnd"/>
            <w:r w:rsidRPr="006F3A5D">
              <w:rPr>
                <w:rFonts w:ascii="Times New Roman" w:hAnsi="Times New Roman" w:cs="Times New Roman"/>
                <w:color w:val="7030A0"/>
              </w:rPr>
              <w:t xml:space="preserve"> Scottish Parliament’s Third Sector Partners and Parliament Event</w:t>
            </w:r>
          </w:p>
        </w:tc>
      </w:tr>
      <w:tr w:rsidR="00FA511E" w:rsidRPr="006F3A5D" w14:paraId="6A816A22"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2148A205"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Evidence-based</w:t>
            </w:r>
          </w:p>
          <w:p w14:paraId="7A7C63C4"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lastRenderedPageBreak/>
              <w:t>Inclusive &amp; Empowering</w:t>
            </w:r>
          </w:p>
          <w:p w14:paraId="110C6120" w14:textId="77777777" w:rsidR="00FA511E" w:rsidRPr="006F3A5D" w:rsidRDefault="00FA511E" w:rsidP="002D0CB1">
            <w:pPr>
              <w:spacing w:after="120"/>
              <w:rPr>
                <w:rFonts w:ascii="Times New Roman" w:hAnsi="Times New Roman" w:cs="Times New Roman"/>
                <w:b w:val="0"/>
                <w:bCs w:val="0"/>
                <w:lang w:val="en-AU"/>
              </w:rPr>
            </w:pPr>
          </w:p>
        </w:tc>
        <w:tc>
          <w:tcPr>
            <w:tcW w:w="1565" w:type="dxa"/>
          </w:tcPr>
          <w:p w14:paraId="22F6B31D"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lastRenderedPageBreak/>
              <w:t>Rebuild Trust</w:t>
            </w:r>
          </w:p>
        </w:tc>
        <w:tc>
          <w:tcPr>
            <w:tcW w:w="2126" w:type="dxa"/>
          </w:tcPr>
          <w:p w14:paraId="6D4212A2"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Internal cultural shift</w:t>
            </w:r>
          </w:p>
          <w:p w14:paraId="1AD1CC6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lastRenderedPageBreak/>
              <w:t>All staff think about how to include diverse range of voices in parliamentary practices and procedures</w:t>
            </w:r>
          </w:p>
        </w:tc>
        <w:tc>
          <w:tcPr>
            <w:tcW w:w="7791" w:type="dxa"/>
          </w:tcPr>
          <w:p w14:paraId="7D9B9FD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lastRenderedPageBreak/>
              <w:t>Integrate direct participation in social action within civics education and parliamentary outreach programs e.g. Democracy Box Project, Wales</w:t>
            </w:r>
          </w:p>
          <w:p w14:paraId="56504184"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lastRenderedPageBreak/>
              <w:t>Pilot (or review existing) ‘Parliament Week’ events that are focused on ‘in place’ engagement between local members and communities, including young people.</w:t>
            </w:r>
          </w:p>
          <w:p w14:paraId="5FEE3E3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proofErr w:type="spellStart"/>
            <w:r w:rsidRPr="006F3A5D">
              <w:rPr>
                <w:rFonts w:ascii="Times New Roman" w:hAnsi="Times New Roman" w:cs="Times New Roman"/>
                <w:color w:val="7030A0"/>
              </w:rPr>
              <w:t>Incentivise</w:t>
            </w:r>
            <w:proofErr w:type="spellEnd"/>
            <w:r w:rsidRPr="006F3A5D">
              <w:rPr>
                <w:rFonts w:ascii="Times New Roman" w:hAnsi="Times New Roman" w:cs="Times New Roman"/>
                <w:color w:val="7030A0"/>
              </w:rPr>
              <w:t xml:space="preserve"> and resource all parliamentary committees to develop public engagement plans for each public inquiry they undertake, informed by Toolkit set out below.</w:t>
            </w:r>
          </w:p>
          <w:p w14:paraId="51D4C474"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color w:val="7030A0"/>
              </w:rPr>
              <w:t xml:space="preserve">Review opportunities to use existing committee and petitions systems to track and encourage further engagement with other parliamentary practice and processes </w:t>
            </w:r>
            <w:proofErr w:type="spellStart"/>
            <w:r w:rsidRPr="006F3A5D">
              <w:rPr>
                <w:rFonts w:ascii="Times New Roman" w:hAnsi="Times New Roman" w:cs="Times New Roman"/>
                <w:color w:val="7030A0"/>
              </w:rPr>
              <w:t>eg</w:t>
            </w:r>
            <w:proofErr w:type="spellEnd"/>
            <w:r w:rsidRPr="006F3A5D">
              <w:rPr>
                <w:rFonts w:ascii="Times New Roman" w:hAnsi="Times New Roman" w:cs="Times New Roman"/>
                <w:color w:val="7030A0"/>
              </w:rPr>
              <w:t xml:space="preserve"> Scottish Parliament’s Citizen Participation and Public Petitions Committee Report 2023</w:t>
            </w:r>
          </w:p>
        </w:tc>
      </w:tr>
      <w:tr w:rsidR="00FA511E" w:rsidRPr="006F3A5D" w14:paraId="1E81F96F"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01D18BF2"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lastRenderedPageBreak/>
              <w:t>Evidence-based</w:t>
            </w:r>
          </w:p>
        </w:tc>
        <w:tc>
          <w:tcPr>
            <w:tcW w:w="1565" w:type="dxa"/>
          </w:tcPr>
          <w:p w14:paraId="5EF2847A"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lang w:val="en-AU"/>
              </w:rPr>
              <w:t>Rebuild Trust</w:t>
            </w:r>
          </w:p>
        </w:tc>
        <w:tc>
          <w:tcPr>
            <w:tcW w:w="2126" w:type="dxa"/>
          </w:tcPr>
          <w:p w14:paraId="18D113B1"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Internal cultural shift</w:t>
            </w:r>
          </w:p>
          <w:p w14:paraId="27ED2FD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 xml:space="preserve">Set strategic goals to improve quality of public parliamentary </w:t>
            </w:r>
            <w:proofErr w:type="gramStart"/>
            <w:r w:rsidRPr="006F3A5D">
              <w:rPr>
                <w:rFonts w:ascii="Times New Roman" w:hAnsi="Times New Roman" w:cs="Times New Roman"/>
                <w:i/>
                <w:iCs/>
              </w:rPr>
              <w:t>engagement</w:t>
            </w:r>
            <w:proofErr w:type="gramEnd"/>
          </w:p>
          <w:p w14:paraId="515109F8"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791" w:type="dxa"/>
          </w:tcPr>
          <w:p w14:paraId="2CF85825"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Include public engagement as a core strategic goal in strategic planning documents and key performance </w:t>
            </w:r>
            <w:proofErr w:type="gramStart"/>
            <w:r w:rsidRPr="006F3A5D">
              <w:rPr>
                <w:rFonts w:ascii="Times New Roman" w:hAnsi="Times New Roman" w:cs="Times New Roman"/>
                <w:color w:val="7030A0"/>
              </w:rPr>
              <w:t>indicators</w:t>
            </w:r>
            <w:proofErr w:type="gramEnd"/>
          </w:p>
          <w:p w14:paraId="4E5A503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Develop institution-wide benchmarks and targets for improving the quality and diversity of public </w:t>
            </w:r>
            <w:proofErr w:type="gramStart"/>
            <w:r w:rsidRPr="006F3A5D">
              <w:rPr>
                <w:rFonts w:ascii="Times New Roman" w:hAnsi="Times New Roman" w:cs="Times New Roman"/>
                <w:color w:val="7030A0"/>
              </w:rPr>
              <w:t>engagement</w:t>
            </w:r>
            <w:proofErr w:type="gramEnd"/>
          </w:p>
          <w:p w14:paraId="79C53B54"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color w:val="7030A0"/>
              </w:rPr>
              <w:t xml:space="preserve">Develop (or review) specific Public Engagement Strategies </w:t>
            </w:r>
            <w:proofErr w:type="spellStart"/>
            <w:r w:rsidRPr="006F3A5D">
              <w:rPr>
                <w:rFonts w:ascii="Times New Roman" w:hAnsi="Times New Roman" w:cs="Times New Roman"/>
                <w:color w:val="7030A0"/>
              </w:rPr>
              <w:t>eg</w:t>
            </w:r>
            <w:proofErr w:type="spellEnd"/>
            <w:r w:rsidRPr="006F3A5D">
              <w:rPr>
                <w:rFonts w:ascii="Times New Roman" w:hAnsi="Times New Roman" w:cs="Times New Roman"/>
                <w:color w:val="7030A0"/>
              </w:rPr>
              <w:t xml:space="preserve"> Scottish Parliament’s Public Engagement Strategy, 2021</w:t>
            </w:r>
          </w:p>
        </w:tc>
      </w:tr>
      <w:tr w:rsidR="00FA511E" w:rsidRPr="006F3A5D" w14:paraId="5E11DB83"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7B4ACACC"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Youth-led</w:t>
            </w:r>
          </w:p>
          <w:p w14:paraId="7F52EC24"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 xml:space="preserve">Human Rights, Evidence- </w:t>
            </w:r>
            <w:proofErr w:type="gramStart"/>
            <w:r w:rsidRPr="006F3A5D">
              <w:rPr>
                <w:rFonts w:ascii="Times New Roman" w:hAnsi="Times New Roman" w:cs="Times New Roman"/>
                <w:b w:val="0"/>
                <w:bCs w:val="0"/>
                <w:lang w:val="en-AU"/>
              </w:rPr>
              <w:t>based</w:t>
            </w:r>
            <w:proofErr w:type="gramEnd"/>
            <w:r w:rsidRPr="006F3A5D">
              <w:rPr>
                <w:rFonts w:ascii="Times New Roman" w:hAnsi="Times New Roman" w:cs="Times New Roman"/>
                <w:b w:val="0"/>
                <w:bCs w:val="0"/>
                <w:lang w:val="en-AU"/>
              </w:rPr>
              <w:t xml:space="preserve"> </w:t>
            </w:r>
          </w:p>
          <w:p w14:paraId="2B3A20FB"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Inclusive &amp; Empowering</w:t>
            </w:r>
          </w:p>
        </w:tc>
        <w:tc>
          <w:tcPr>
            <w:tcW w:w="1565" w:type="dxa"/>
          </w:tcPr>
          <w:p w14:paraId="7010196B"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 xml:space="preserve">Broaden what counts as democratic </w:t>
            </w:r>
            <w:proofErr w:type="gramStart"/>
            <w:r w:rsidRPr="006F3A5D">
              <w:rPr>
                <w:rFonts w:ascii="Times New Roman" w:hAnsi="Times New Roman" w:cs="Times New Roman"/>
                <w:lang w:val="en-AU"/>
              </w:rPr>
              <w:t>engagement</w:t>
            </w:r>
            <w:proofErr w:type="gramEnd"/>
          </w:p>
          <w:p w14:paraId="34AC0EB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tcPr>
          <w:p w14:paraId="47BD4B3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Social disruption</w:t>
            </w:r>
          </w:p>
          <w:p w14:paraId="43FC24F3"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6F3A5D">
              <w:rPr>
                <w:rFonts w:ascii="Times New Roman" w:hAnsi="Times New Roman" w:cs="Times New Roman"/>
                <w:i/>
                <w:iCs/>
              </w:rPr>
              <w:t>Open curiosity about different forms of democratic engagement</w:t>
            </w:r>
          </w:p>
        </w:tc>
        <w:tc>
          <w:tcPr>
            <w:tcW w:w="7791" w:type="dxa"/>
          </w:tcPr>
          <w:p w14:paraId="3B224430"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Undertake an audit of protest laws and laws restricting access to public space building on work already undertaken by Australian Democracy Network and Human Rights Law Centre</w:t>
            </w:r>
          </w:p>
          <w:p w14:paraId="2C9EAAF9"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Co-host forum with First Nations and Aboriginal </w:t>
            </w:r>
            <w:proofErr w:type="spellStart"/>
            <w:r w:rsidRPr="006F3A5D">
              <w:rPr>
                <w:rFonts w:ascii="Times New Roman" w:hAnsi="Times New Roman" w:cs="Times New Roman"/>
              </w:rPr>
              <w:t>Organisations</w:t>
            </w:r>
            <w:proofErr w:type="spellEnd"/>
            <w:r w:rsidRPr="006F3A5D">
              <w:rPr>
                <w:rFonts w:ascii="Times New Roman" w:hAnsi="Times New Roman" w:cs="Times New Roman"/>
              </w:rPr>
              <w:t xml:space="preserve">, Youth-led </w:t>
            </w:r>
            <w:proofErr w:type="spellStart"/>
            <w:r w:rsidRPr="006F3A5D">
              <w:rPr>
                <w:rFonts w:ascii="Times New Roman" w:hAnsi="Times New Roman" w:cs="Times New Roman"/>
              </w:rPr>
              <w:t>organisations</w:t>
            </w:r>
            <w:proofErr w:type="spellEnd"/>
            <w:r w:rsidRPr="006F3A5D">
              <w:rPr>
                <w:rFonts w:ascii="Times New Roman" w:hAnsi="Times New Roman" w:cs="Times New Roman"/>
              </w:rPr>
              <w:t xml:space="preserve">, Youth Councils and federal, state and territory statutory bodies and local councils on the theme ‘what does democracy look like for young Australians’  </w:t>
            </w:r>
          </w:p>
        </w:tc>
      </w:tr>
      <w:tr w:rsidR="00FA511E" w:rsidRPr="006F3A5D" w14:paraId="392C9D11" w14:textId="77777777" w:rsidTr="00D57B32">
        <w:tc>
          <w:tcPr>
            <w:cnfStyle w:val="001000000000" w:firstRow="0" w:lastRow="0" w:firstColumn="1" w:lastColumn="0" w:oddVBand="0" w:evenVBand="0" w:oddHBand="0" w:evenHBand="0" w:firstRowFirstColumn="0" w:firstRowLastColumn="0" w:lastRowFirstColumn="0" w:lastRowLastColumn="0"/>
            <w:tcW w:w="1560" w:type="dxa"/>
          </w:tcPr>
          <w:p w14:paraId="6E1F0E3F"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Youth-led</w:t>
            </w:r>
          </w:p>
          <w:p w14:paraId="3872890A" w14:textId="77777777" w:rsidR="00FA511E" w:rsidRPr="006F3A5D" w:rsidRDefault="00FA511E" w:rsidP="002D0CB1">
            <w:pPr>
              <w:spacing w:after="120"/>
              <w:rPr>
                <w:rFonts w:ascii="Times New Roman" w:hAnsi="Times New Roman" w:cs="Times New Roman"/>
                <w:b w:val="0"/>
                <w:bCs w:val="0"/>
                <w:lang w:val="en-AU"/>
              </w:rPr>
            </w:pPr>
            <w:r w:rsidRPr="006F3A5D">
              <w:rPr>
                <w:rFonts w:ascii="Times New Roman" w:hAnsi="Times New Roman" w:cs="Times New Roman"/>
                <w:b w:val="0"/>
                <w:bCs w:val="0"/>
                <w:lang w:val="en-AU"/>
              </w:rPr>
              <w:t xml:space="preserve">Inclusive &amp; Empowering Respect First Nations </w:t>
            </w:r>
          </w:p>
        </w:tc>
        <w:tc>
          <w:tcPr>
            <w:tcW w:w="1565" w:type="dxa"/>
          </w:tcPr>
          <w:p w14:paraId="1D000BBE"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6F3A5D">
              <w:rPr>
                <w:rFonts w:ascii="Times New Roman" w:hAnsi="Times New Roman" w:cs="Times New Roman"/>
                <w:lang w:val="en-AU"/>
              </w:rPr>
              <w:t>Shift Inequality</w:t>
            </w:r>
          </w:p>
          <w:p w14:paraId="25CF39F6"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26" w:type="dxa"/>
          </w:tcPr>
          <w:p w14:paraId="19EF6637"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Internal cultural shift</w:t>
            </w:r>
          </w:p>
          <w:p w14:paraId="10310946"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i/>
                <w:iCs/>
              </w:rPr>
              <w:t>Use demographic data to create conditions for democratically representative youth</w:t>
            </w:r>
            <w:r w:rsidRPr="006F3A5D">
              <w:rPr>
                <w:rFonts w:ascii="Times New Roman" w:hAnsi="Times New Roman" w:cs="Times New Roman"/>
              </w:rPr>
              <w:t xml:space="preserve"> </w:t>
            </w:r>
            <w:r w:rsidRPr="006F3A5D">
              <w:rPr>
                <w:rFonts w:ascii="Times New Roman" w:hAnsi="Times New Roman" w:cs="Times New Roman"/>
                <w:i/>
                <w:iCs/>
              </w:rPr>
              <w:t xml:space="preserve">parliaments </w:t>
            </w:r>
          </w:p>
        </w:tc>
        <w:tc>
          <w:tcPr>
            <w:tcW w:w="7791" w:type="dxa"/>
          </w:tcPr>
          <w:p w14:paraId="443D8C3C"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Work with existing Youth Parliaments to evaluate strengths and weaknesses of current </w:t>
            </w:r>
            <w:proofErr w:type="gramStart"/>
            <w:r w:rsidRPr="006F3A5D">
              <w:rPr>
                <w:rFonts w:ascii="Times New Roman" w:hAnsi="Times New Roman" w:cs="Times New Roman"/>
                <w:color w:val="7030A0"/>
              </w:rPr>
              <w:t>models</w:t>
            </w:r>
            <w:proofErr w:type="gramEnd"/>
            <w:r w:rsidRPr="006F3A5D">
              <w:rPr>
                <w:rFonts w:ascii="Times New Roman" w:hAnsi="Times New Roman" w:cs="Times New Roman"/>
                <w:color w:val="7030A0"/>
              </w:rPr>
              <w:t xml:space="preserve"> </w:t>
            </w:r>
          </w:p>
          <w:p w14:paraId="0839B06B"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7030A0"/>
              </w:rPr>
            </w:pPr>
            <w:r w:rsidRPr="006F3A5D">
              <w:rPr>
                <w:rFonts w:ascii="Times New Roman" w:hAnsi="Times New Roman" w:cs="Times New Roman"/>
                <w:color w:val="7030A0"/>
              </w:rPr>
              <w:t xml:space="preserve">Invest in generating or accessing delineated demographic data to identify needs and engagement profiles of young people in each Australian </w:t>
            </w:r>
            <w:proofErr w:type="gramStart"/>
            <w:r w:rsidRPr="006F3A5D">
              <w:rPr>
                <w:rFonts w:ascii="Times New Roman" w:hAnsi="Times New Roman" w:cs="Times New Roman"/>
                <w:color w:val="7030A0"/>
              </w:rPr>
              <w:t>electorate</w:t>
            </w:r>
            <w:proofErr w:type="gramEnd"/>
          </w:p>
          <w:p w14:paraId="2831AB73"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3A5D">
              <w:rPr>
                <w:rFonts w:ascii="Times New Roman" w:hAnsi="Times New Roman" w:cs="Times New Roman"/>
              </w:rPr>
              <w:t xml:space="preserve">Pilot a demographically representative and democratically elected Youth Parliament with design input from existing Youth Parliaments and Youth Advisory Councils </w:t>
            </w:r>
          </w:p>
          <w:p w14:paraId="148B258F" w14:textId="77777777" w:rsidR="00FA511E" w:rsidRPr="006F3A5D" w:rsidRDefault="00FA511E" w:rsidP="002D0CB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6F3A5D">
              <w:rPr>
                <w:rFonts w:ascii="Times New Roman" w:hAnsi="Times New Roman" w:cs="Times New Roman"/>
              </w:rPr>
              <w:t>Utilise</w:t>
            </w:r>
            <w:proofErr w:type="spellEnd"/>
            <w:r w:rsidRPr="006F3A5D">
              <w:rPr>
                <w:rFonts w:ascii="Times New Roman" w:hAnsi="Times New Roman" w:cs="Times New Roman"/>
              </w:rPr>
              <w:t xml:space="preserve"> existing treaty processes and First Nations Voice forums to advance self-determined youth engagement</w:t>
            </w:r>
          </w:p>
        </w:tc>
      </w:tr>
    </w:tbl>
    <w:p w14:paraId="7F925EE7" w14:textId="77777777" w:rsidR="00FA511E" w:rsidRPr="006F3A5D" w:rsidRDefault="00FA511E" w:rsidP="002D0CB1">
      <w:pPr>
        <w:spacing w:after="120" w:line="240" w:lineRule="auto"/>
        <w:rPr>
          <w:rFonts w:ascii="Times New Roman" w:hAnsi="Times New Roman" w:cs="Times New Roman"/>
          <w:b/>
          <w:bCs/>
        </w:rPr>
        <w:sectPr w:rsidR="00FA511E" w:rsidRPr="006F3A5D" w:rsidSect="00FA511E">
          <w:footnotePr>
            <w:numRestart w:val="eachSect"/>
          </w:footnotePr>
          <w:pgSz w:w="15840" w:h="12240" w:orient="landscape"/>
          <w:pgMar w:top="1440" w:right="1440" w:bottom="1440" w:left="1440" w:header="288" w:footer="288" w:gutter="0"/>
          <w:cols w:space="720"/>
          <w:titlePg/>
          <w:docGrid w:linePitch="360"/>
        </w:sectPr>
      </w:pPr>
    </w:p>
    <w:bookmarkEnd w:id="4"/>
    <w:bookmarkEnd w:id="5"/>
    <w:p w14:paraId="3D41DAC0" w14:textId="6FF9C7D2" w:rsidR="00385F6D" w:rsidRPr="00444A89" w:rsidRDefault="00385F6D" w:rsidP="00444A89">
      <w:pPr>
        <w:pStyle w:val="Heading2"/>
      </w:pPr>
      <w:r w:rsidRPr="00444A89">
        <w:rPr>
          <w:rStyle w:val="Heading2Char"/>
          <w:b/>
          <w:bCs/>
        </w:rPr>
        <w:lastRenderedPageBreak/>
        <w:t xml:space="preserve">How do we </w:t>
      </w:r>
      <w:r w:rsidR="00B544B3" w:rsidRPr="00444A89">
        <w:rPr>
          <w:rStyle w:val="Heading2Char"/>
          <w:b/>
          <w:bCs/>
        </w:rPr>
        <w:t>build</w:t>
      </w:r>
      <w:r w:rsidR="00A85DC8">
        <w:rPr>
          <w:rStyle w:val="Heading2Char"/>
          <w:b/>
          <w:bCs/>
        </w:rPr>
        <w:t xml:space="preserve"> on</w:t>
      </w:r>
      <w:r w:rsidR="00B544B3" w:rsidRPr="00444A89">
        <w:rPr>
          <w:rStyle w:val="Heading2Char"/>
          <w:b/>
          <w:bCs/>
        </w:rPr>
        <w:t xml:space="preserve"> the foundations for intergenerational resilience in our </w:t>
      </w:r>
      <w:r w:rsidR="00BB53CB" w:rsidRPr="00444A89">
        <w:rPr>
          <w:rStyle w:val="Heading2Char"/>
          <w:b/>
          <w:bCs/>
        </w:rPr>
        <w:t>communities</w:t>
      </w:r>
      <w:r w:rsidRPr="00444A89">
        <w:t xml:space="preserve">? </w:t>
      </w:r>
    </w:p>
    <w:p w14:paraId="2427B103" w14:textId="7584ABE0" w:rsidR="000B42A9" w:rsidRDefault="00385F6D" w:rsidP="00385F6D">
      <w:pPr>
        <w:spacing w:after="120"/>
        <w:jc w:val="both"/>
        <w:rPr>
          <w:rFonts w:ascii="Times New Roman" w:hAnsi="Times New Roman" w:cs="Times New Roman"/>
        </w:rPr>
      </w:pPr>
      <w:r w:rsidRPr="006F3A5D">
        <w:rPr>
          <w:rFonts w:ascii="Times New Roman" w:hAnsi="Times New Roman" w:cs="Times New Roman"/>
        </w:rPr>
        <w:t xml:space="preserve">We have what it takes to create </w:t>
      </w:r>
      <w:r w:rsidR="00C8681D">
        <w:rPr>
          <w:rFonts w:ascii="Times New Roman" w:hAnsi="Times New Roman" w:cs="Times New Roman"/>
        </w:rPr>
        <w:t>intergenerational resilience in communities and parliaments in</w:t>
      </w:r>
      <w:r w:rsidRPr="006F3A5D">
        <w:rPr>
          <w:rFonts w:ascii="Times New Roman" w:hAnsi="Times New Roman" w:cs="Times New Roman"/>
        </w:rPr>
        <w:t xml:space="preserve"> Australia</w:t>
      </w:r>
      <w:r w:rsidR="00C8681D">
        <w:rPr>
          <w:rFonts w:ascii="Times New Roman" w:hAnsi="Times New Roman" w:cs="Times New Roman"/>
        </w:rPr>
        <w:t xml:space="preserve"> and New Zealand</w:t>
      </w:r>
      <w:r w:rsidRPr="006F3A5D">
        <w:rPr>
          <w:rFonts w:ascii="Times New Roman" w:hAnsi="Times New Roman" w:cs="Times New Roman"/>
        </w:rPr>
        <w:t xml:space="preserve">.  </w:t>
      </w:r>
      <w:r w:rsidR="00A85DC8">
        <w:rPr>
          <w:rFonts w:ascii="Times New Roman" w:hAnsi="Times New Roman" w:cs="Times New Roman"/>
        </w:rPr>
        <w:t xml:space="preserve">Many of the foundations have already been laid through the hard work of </w:t>
      </w:r>
      <w:r w:rsidR="002E0502">
        <w:rPr>
          <w:rFonts w:ascii="Times New Roman" w:hAnsi="Times New Roman" w:cs="Times New Roman"/>
        </w:rPr>
        <w:t xml:space="preserve">parliamentary staff, educators, elected </w:t>
      </w:r>
      <w:proofErr w:type="gramStart"/>
      <w:r w:rsidR="002E0502">
        <w:rPr>
          <w:rFonts w:ascii="Times New Roman" w:hAnsi="Times New Roman" w:cs="Times New Roman"/>
        </w:rPr>
        <w:t>members</w:t>
      </w:r>
      <w:proofErr w:type="gramEnd"/>
      <w:r w:rsidR="002E0502">
        <w:rPr>
          <w:rFonts w:ascii="Times New Roman" w:hAnsi="Times New Roman" w:cs="Times New Roman"/>
        </w:rPr>
        <w:t xml:space="preserve"> and community leaders </w:t>
      </w:r>
      <w:r w:rsidR="006862FD">
        <w:rPr>
          <w:rFonts w:ascii="Times New Roman" w:hAnsi="Times New Roman" w:cs="Times New Roman"/>
        </w:rPr>
        <w:t xml:space="preserve">across demographic and generational divides. We have green shoots of innovation to inspire us, and evidence to support the economic, </w:t>
      </w:r>
      <w:proofErr w:type="gramStart"/>
      <w:r w:rsidR="006862FD">
        <w:rPr>
          <w:rFonts w:ascii="Times New Roman" w:hAnsi="Times New Roman" w:cs="Times New Roman"/>
        </w:rPr>
        <w:t>social</w:t>
      </w:r>
      <w:proofErr w:type="gramEnd"/>
      <w:r w:rsidR="006862FD">
        <w:rPr>
          <w:rFonts w:ascii="Times New Roman" w:hAnsi="Times New Roman" w:cs="Times New Roman"/>
        </w:rPr>
        <w:t xml:space="preserve"> and political value of integrating high quality, high impact public engagement strategies and democratic listening techniques across our institutions, including parliaments.</w:t>
      </w:r>
      <w:r w:rsidR="001560F2">
        <w:rPr>
          <w:rFonts w:ascii="Times New Roman" w:hAnsi="Times New Roman" w:cs="Times New Roman"/>
        </w:rPr>
        <w:t xml:space="preserve"> </w:t>
      </w:r>
      <w:r w:rsidR="000B42A9">
        <w:rPr>
          <w:rFonts w:ascii="Times New Roman" w:hAnsi="Times New Roman" w:cs="Times New Roman"/>
        </w:rPr>
        <w:t xml:space="preserve">We can use these foundations to be ready to respond to external catalyst for change, and to generate our own change conditions for example by changing the way we measure and evaluate </w:t>
      </w:r>
      <w:r w:rsidR="00007ECD">
        <w:rPr>
          <w:rFonts w:ascii="Times New Roman" w:hAnsi="Times New Roman" w:cs="Times New Roman"/>
        </w:rPr>
        <w:t>success and</w:t>
      </w:r>
      <w:r w:rsidR="000B42A9">
        <w:rPr>
          <w:rFonts w:ascii="Times New Roman" w:hAnsi="Times New Roman" w:cs="Times New Roman"/>
        </w:rPr>
        <w:t xml:space="preserve"> shifting investment and resources within institutions.</w:t>
      </w:r>
      <w:r w:rsidR="00007ECD">
        <w:rPr>
          <w:rFonts w:ascii="Times New Roman" w:hAnsi="Times New Roman" w:cs="Times New Roman"/>
        </w:rPr>
        <w:t xml:space="preserve">  </w:t>
      </w:r>
    </w:p>
    <w:p w14:paraId="59B2E6AC" w14:textId="0ACF060A" w:rsidR="007415B7" w:rsidRPr="006F3A5D" w:rsidRDefault="007415B7" w:rsidP="007415B7">
      <w:pPr>
        <w:spacing w:after="120"/>
        <w:jc w:val="both"/>
        <w:rPr>
          <w:rFonts w:ascii="Times New Roman" w:hAnsi="Times New Roman" w:cs="Times New Roman"/>
        </w:rPr>
      </w:pPr>
      <w:r>
        <w:rPr>
          <w:rFonts w:ascii="Times New Roman" w:hAnsi="Times New Roman" w:cs="Times New Roman"/>
        </w:rPr>
        <w:t xml:space="preserve">My Churchill Fellowship report </w:t>
      </w:r>
      <w:r w:rsidR="00394096">
        <w:rPr>
          <w:rFonts w:ascii="Times New Roman" w:hAnsi="Times New Roman" w:cs="Times New Roman"/>
        </w:rPr>
        <w:t>(</w:t>
      </w:r>
      <w:r w:rsidR="00C03C9E" w:rsidRPr="00C03C9E">
        <w:rPr>
          <w:rFonts w:ascii="Times New Roman" w:hAnsi="Times New Roman" w:cs="Times New Roman"/>
        </w:rPr>
        <w:t>Moulds</w:t>
      </w:r>
      <w:r w:rsidR="00C03C9E">
        <w:rPr>
          <w:rFonts w:ascii="Times New Roman" w:hAnsi="Times New Roman" w:cs="Times New Roman"/>
        </w:rPr>
        <w:t xml:space="preserve"> </w:t>
      </w:r>
      <w:r w:rsidR="00C03C9E" w:rsidRPr="00C03C9E">
        <w:rPr>
          <w:rFonts w:ascii="Times New Roman" w:hAnsi="Times New Roman" w:cs="Times New Roman"/>
        </w:rPr>
        <w:t>2023 and 2024</w:t>
      </w:r>
      <w:r w:rsidR="00394096">
        <w:rPr>
          <w:rFonts w:ascii="Times New Roman" w:hAnsi="Times New Roman" w:cs="Times New Roman"/>
        </w:rPr>
        <w:t xml:space="preserve">) </w:t>
      </w:r>
      <w:r>
        <w:rPr>
          <w:rFonts w:ascii="Times New Roman" w:hAnsi="Times New Roman" w:cs="Times New Roman"/>
        </w:rPr>
        <w:t xml:space="preserve">identified the following </w:t>
      </w:r>
      <w:r w:rsidRPr="001560F2">
        <w:rPr>
          <w:rFonts w:ascii="Times New Roman" w:hAnsi="Times New Roman" w:cs="Times New Roman"/>
        </w:rPr>
        <w:t xml:space="preserve">key recommendations </w:t>
      </w:r>
      <w:r w:rsidR="001407D7" w:rsidRPr="001560F2">
        <w:rPr>
          <w:rFonts w:ascii="Times New Roman" w:hAnsi="Times New Roman" w:cs="Times New Roman"/>
        </w:rPr>
        <w:t xml:space="preserve">derived </w:t>
      </w:r>
      <w:r w:rsidRPr="001560F2">
        <w:rPr>
          <w:rFonts w:ascii="Times New Roman" w:hAnsi="Times New Roman" w:cs="Times New Roman"/>
        </w:rPr>
        <w:t>from the insights gained during my Fellowship travels</w:t>
      </w:r>
      <w:r w:rsidR="001407D7" w:rsidRPr="001560F2">
        <w:rPr>
          <w:rFonts w:ascii="Times New Roman" w:hAnsi="Times New Roman" w:cs="Times New Roman"/>
        </w:rPr>
        <w:t>, that are de</w:t>
      </w:r>
      <w:r w:rsidR="001407D7">
        <w:rPr>
          <w:rFonts w:ascii="Times New Roman" w:hAnsi="Times New Roman" w:cs="Times New Roman"/>
        </w:rPr>
        <w:t xml:space="preserve">signed to help us reconceptualise what counts as young democratic engagement and </w:t>
      </w:r>
      <w:r w:rsidR="001B6E81">
        <w:rPr>
          <w:rFonts w:ascii="Times New Roman" w:hAnsi="Times New Roman" w:cs="Times New Roman"/>
        </w:rPr>
        <w:t>in the process, improve our institutional capacity to engage in democratic listening across all generations:</w:t>
      </w:r>
    </w:p>
    <w:p w14:paraId="3F482BDA" w14:textId="759C8473" w:rsidR="007415B7" w:rsidRPr="0045307C" w:rsidRDefault="007415B7" w:rsidP="007415B7">
      <w:pPr>
        <w:pStyle w:val="ListParagraph"/>
        <w:numPr>
          <w:ilvl w:val="0"/>
          <w:numId w:val="4"/>
        </w:numPr>
        <w:spacing w:after="120"/>
        <w:contextualSpacing w:val="0"/>
        <w:jc w:val="both"/>
        <w:rPr>
          <w:rFonts w:ascii="Times New Roman" w:hAnsi="Times New Roman" w:cs="Times New Roman"/>
        </w:rPr>
      </w:pPr>
      <w:r w:rsidRPr="0045307C">
        <w:rPr>
          <w:rFonts w:ascii="Times New Roman" w:hAnsi="Times New Roman" w:cs="Times New Roman"/>
        </w:rPr>
        <w:t>Activate curiosity about the lives of young people across institutions and generations.  Support this with the collection and dissemination of data that identifies whose voices are being privileged and whose voices are being ignored and excluded and orientate effort and investment accordingly.  Strategies for practical implementation of this finding are set out in the Connecting Youth with Parliament Toolkit (</w:t>
      </w:r>
      <w:r w:rsidR="0045307C">
        <w:rPr>
          <w:rFonts w:ascii="Times New Roman" w:hAnsi="Times New Roman" w:cs="Times New Roman"/>
        </w:rPr>
        <w:t>above</w:t>
      </w:r>
      <w:r w:rsidRPr="0045307C">
        <w:rPr>
          <w:rFonts w:ascii="Times New Roman" w:hAnsi="Times New Roman" w:cs="Times New Roman"/>
        </w:rPr>
        <w:t xml:space="preserve">). </w:t>
      </w:r>
    </w:p>
    <w:p w14:paraId="4EC71C17" w14:textId="23B54B96" w:rsidR="007415B7" w:rsidRPr="0045307C" w:rsidRDefault="007415B7" w:rsidP="007415B7">
      <w:pPr>
        <w:pStyle w:val="ListParagraph"/>
        <w:numPr>
          <w:ilvl w:val="0"/>
          <w:numId w:val="4"/>
        </w:numPr>
        <w:spacing w:after="120"/>
        <w:contextualSpacing w:val="0"/>
        <w:jc w:val="both"/>
        <w:rPr>
          <w:rFonts w:ascii="Times New Roman" w:hAnsi="Times New Roman" w:cs="Times New Roman"/>
        </w:rPr>
      </w:pPr>
      <w:r w:rsidRPr="0045307C">
        <w:rPr>
          <w:rFonts w:ascii="Times New Roman" w:hAnsi="Times New Roman" w:cs="Times New Roman"/>
        </w:rPr>
        <w:t>Understand the institutional context in which parliaments and governments seek to engage with citizens, including young people, and identify internal and external catalysts for change (discussed above).</w:t>
      </w:r>
    </w:p>
    <w:p w14:paraId="478D8CA6" w14:textId="3A847D78" w:rsidR="007415B7" w:rsidRPr="0045307C" w:rsidRDefault="007415B7" w:rsidP="007415B7">
      <w:pPr>
        <w:pStyle w:val="ListParagraph"/>
        <w:numPr>
          <w:ilvl w:val="0"/>
          <w:numId w:val="4"/>
        </w:numPr>
        <w:spacing w:after="120"/>
        <w:contextualSpacing w:val="0"/>
        <w:jc w:val="both"/>
        <w:rPr>
          <w:rFonts w:ascii="Times New Roman" w:hAnsi="Times New Roman" w:cs="Times New Roman"/>
        </w:rPr>
      </w:pPr>
      <w:r w:rsidRPr="0045307C">
        <w:rPr>
          <w:rFonts w:ascii="Times New Roman" w:hAnsi="Times New Roman" w:cs="Times New Roman"/>
        </w:rPr>
        <w:t xml:space="preserve">Integrate the human rights </w:t>
      </w:r>
      <w:r w:rsidR="005D5413">
        <w:rPr>
          <w:rFonts w:ascii="Times New Roman" w:hAnsi="Times New Roman" w:cs="Times New Roman"/>
        </w:rPr>
        <w:t xml:space="preserve">principles and </w:t>
      </w:r>
      <w:r w:rsidRPr="0045307C">
        <w:rPr>
          <w:rFonts w:ascii="Times New Roman" w:hAnsi="Times New Roman" w:cs="Times New Roman"/>
        </w:rPr>
        <w:t xml:space="preserve">First Nations </w:t>
      </w:r>
      <w:r w:rsidR="005D5413">
        <w:rPr>
          <w:rFonts w:ascii="Times New Roman" w:hAnsi="Times New Roman" w:cs="Times New Roman"/>
        </w:rPr>
        <w:t>knowledges</w:t>
      </w:r>
      <w:r w:rsidRPr="0045307C">
        <w:rPr>
          <w:rFonts w:ascii="Times New Roman" w:hAnsi="Times New Roman" w:cs="Times New Roman"/>
        </w:rPr>
        <w:t xml:space="preserve"> within institutional work practices and strategic planning and measure progress towards shared goals.</w:t>
      </w:r>
    </w:p>
    <w:p w14:paraId="1C59A488" w14:textId="5EB75468" w:rsidR="007415B7" w:rsidRPr="0045307C" w:rsidRDefault="007415B7" w:rsidP="007415B7">
      <w:pPr>
        <w:pStyle w:val="ListParagraph"/>
        <w:numPr>
          <w:ilvl w:val="0"/>
          <w:numId w:val="4"/>
        </w:numPr>
        <w:spacing w:after="120"/>
        <w:contextualSpacing w:val="0"/>
        <w:jc w:val="both"/>
        <w:rPr>
          <w:rFonts w:ascii="Times New Roman" w:hAnsi="Times New Roman" w:cs="Times New Roman"/>
        </w:rPr>
      </w:pPr>
      <w:r w:rsidRPr="0045307C">
        <w:rPr>
          <w:rFonts w:ascii="Times New Roman" w:hAnsi="Times New Roman" w:cs="Times New Roman"/>
        </w:rPr>
        <w:t>Model behaviours and advance reform agendas that actively acknowledge and address intergenerational inequality, including by making space for young people</w:t>
      </w:r>
      <w:r w:rsidR="001B6E81" w:rsidRPr="0045307C">
        <w:rPr>
          <w:rFonts w:ascii="Times New Roman" w:hAnsi="Times New Roman" w:cs="Times New Roman"/>
        </w:rPr>
        <w:t xml:space="preserve"> and older people</w:t>
      </w:r>
      <w:r w:rsidRPr="0045307C">
        <w:rPr>
          <w:rFonts w:ascii="Times New Roman" w:hAnsi="Times New Roman" w:cs="Times New Roman"/>
        </w:rPr>
        <w:t xml:space="preserve"> to identify and prosecute their own reform priorities.</w:t>
      </w:r>
    </w:p>
    <w:p w14:paraId="3609C249" w14:textId="77777777" w:rsidR="007415B7" w:rsidRPr="0045307C" w:rsidRDefault="007415B7" w:rsidP="007415B7">
      <w:pPr>
        <w:pStyle w:val="ListParagraph"/>
        <w:numPr>
          <w:ilvl w:val="0"/>
          <w:numId w:val="4"/>
        </w:numPr>
        <w:spacing w:after="120"/>
        <w:contextualSpacing w:val="0"/>
        <w:jc w:val="both"/>
        <w:rPr>
          <w:rFonts w:ascii="Times New Roman" w:hAnsi="Times New Roman" w:cs="Times New Roman"/>
        </w:rPr>
      </w:pPr>
      <w:r w:rsidRPr="0045307C">
        <w:rPr>
          <w:rFonts w:ascii="Times New Roman" w:hAnsi="Times New Roman" w:cs="Times New Roman"/>
        </w:rPr>
        <w:t>Increase youth political agency including by taking steps to lower the voting age in all elections in Australia, and by investing in youth representative bodies and youth leaders that are democratically endorsed by young people themselves.</w:t>
      </w:r>
    </w:p>
    <w:p w14:paraId="7419D476" w14:textId="3E0719D5" w:rsidR="00146FB8" w:rsidRDefault="0045307C" w:rsidP="00146FB8">
      <w:pPr>
        <w:spacing w:after="120"/>
        <w:jc w:val="both"/>
        <w:rPr>
          <w:rFonts w:ascii="Times New Roman" w:hAnsi="Times New Roman" w:cs="Times New Roman"/>
        </w:rPr>
      </w:pPr>
      <w:r>
        <w:rPr>
          <w:rFonts w:ascii="Times New Roman" w:hAnsi="Times New Roman" w:cs="Times New Roman"/>
        </w:rPr>
        <w:t xml:space="preserve">To </w:t>
      </w:r>
      <w:r w:rsidR="00226121" w:rsidRPr="006F3A5D">
        <w:rPr>
          <w:rFonts w:ascii="Times New Roman" w:hAnsi="Times New Roman" w:cs="Times New Roman"/>
        </w:rPr>
        <w:t xml:space="preserve">make progress towards implementing these big picture recommendations, conceptual and practical shifts are required.  </w:t>
      </w:r>
      <w:r w:rsidR="00146FB8">
        <w:rPr>
          <w:rFonts w:ascii="Times New Roman" w:hAnsi="Times New Roman" w:cs="Times New Roman"/>
        </w:rPr>
        <w:t xml:space="preserve">We must continue to challenge ourselves, and our colleagues and leaders, to </w:t>
      </w:r>
      <w:r w:rsidR="00146FB8">
        <w:rPr>
          <w:rFonts w:ascii="Times New Roman" w:hAnsi="Times New Roman" w:cs="Times New Roman"/>
          <w:i/>
          <w:iCs/>
        </w:rPr>
        <w:t xml:space="preserve">reconceptualise </w:t>
      </w:r>
      <w:r w:rsidR="00146FB8">
        <w:rPr>
          <w:rFonts w:ascii="Times New Roman" w:hAnsi="Times New Roman" w:cs="Times New Roman"/>
        </w:rPr>
        <w:t xml:space="preserve">what it means to ‘engage with’ or ‘listen to’ the voices of young people.  And this demands the courageous step of </w:t>
      </w:r>
      <w:r w:rsidR="00146FB8">
        <w:rPr>
          <w:rFonts w:ascii="Times New Roman" w:hAnsi="Times New Roman" w:cs="Times New Roman"/>
          <w:i/>
          <w:iCs/>
        </w:rPr>
        <w:t xml:space="preserve">getting out of the </w:t>
      </w:r>
      <w:r w:rsidR="00146FB8" w:rsidRPr="009C1E6D">
        <w:rPr>
          <w:rFonts w:ascii="Times New Roman" w:hAnsi="Times New Roman" w:cs="Times New Roman"/>
          <w:i/>
          <w:iCs/>
        </w:rPr>
        <w:t xml:space="preserve">way, </w:t>
      </w:r>
      <w:r w:rsidR="00146FB8" w:rsidRPr="009C1E6D">
        <w:rPr>
          <w:rFonts w:ascii="Times New Roman" w:hAnsi="Times New Roman" w:cs="Times New Roman"/>
        </w:rPr>
        <w:t>stepping aside</w:t>
      </w:r>
      <w:r w:rsidR="004774B2" w:rsidRPr="004774B2">
        <w:rPr>
          <w:rFonts w:ascii="Times New Roman" w:hAnsi="Times New Roman" w:cs="Times New Roman"/>
        </w:rPr>
        <w:t xml:space="preserve"> </w:t>
      </w:r>
      <w:r w:rsidR="00146FB8">
        <w:rPr>
          <w:rFonts w:ascii="Times New Roman" w:hAnsi="Times New Roman" w:cs="Times New Roman"/>
        </w:rPr>
        <w:t xml:space="preserve">to </w:t>
      </w:r>
      <w:r w:rsidR="00146FB8" w:rsidRPr="006F3A5D">
        <w:rPr>
          <w:rFonts w:ascii="Times New Roman" w:hAnsi="Times New Roman" w:cs="Times New Roman"/>
        </w:rPr>
        <w:t xml:space="preserve">make space for the voices of our young people, so that we can address intergenerational inequality and youth disempowerment head-on.  </w:t>
      </w:r>
    </w:p>
    <w:p w14:paraId="3F29F8D5" w14:textId="11311FA0" w:rsidR="009D1588" w:rsidRPr="006F3A5D" w:rsidRDefault="009D1588" w:rsidP="009D1588">
      <w:pPr>
        <w:spacing w:after="120"/>
        <w:jc w:val="both"/>
        <w:rPr>
          <w:rFonts w:ascii="Times New Roman" w:hAnsi="Times New Roman" w:cs="Times New Roman"/>
        </w:rPr>
      </w:pPr>
      <w:r w:rsidRPr="006F3A5D">
        <w:rPr>
          <w:rFonts w:ascii="Times New Roman" w:hAnsi="Times New Roman" w:cs="Times New Roman"/>
        </w:rPr>
        <w:t xml:space="preserve">Youth parliaments could also provide fertile ground for improved youth engagement in Australian democracy, particularly if they embrace the features of the Welsh Youth Parliament and entrench legitimacy through a genuine political commitment by sitting MPs to consider and debate the legislative proposals generated by the Youth Parliament.  The Welsh model also ensures that young parliamentarians are elected by young people and includes quotas for marginalised communities.  This approach recognises that educative programs aiming to improve young people’s understanding of parliamentary processes and procedures are important, but not enough.  Space for young people to identify and prosecute their own reform agenda – and to actively challenge existing processes and procedures – is required.  </w:t>
      </w:r>
    </w:p>
    <w:p w14:paraId="72C7BFE6" w14:textId="748110FF" w:rsidR="00146FB8" w:rsidRPr="000B560C" w:rsidRDefault="009D1588" w:rsidP="00852992">
      <w:pPr>
        <w:spacing w:after="120"/>
        <w:jc w:val="both"/>
        <w:rPr>
          <w:rFonts w:ascii="Times New Roman" w:hAnsi="Times New Roman" w:cs="Times New Roman"/>
        </w:rPr>
      </w:pPr>
      <w:r w:rsidRPr="006F3A5D">
        <w:rPr>
          <w:rFonts w:ascii="Times New Roman" w:hAnsi="Times New Roman" w:cs="Times New Roman"/>
        </w:rPr>
        <w:lastRenderedPageBreak/>
        <w:t xml:space="preserve">The humble classroom is also fertile ground for revolutionary change.  Current approaches to ‘student representation’ in school settings generally entrench existing power dynamics and privileges (Mayes, 2016).  Children who feel isolated or excluded from school decision making process are silenced through these ‘representative’ forums – but this can change.  We can make classrooms more democratic.  We can put the least engaged students </w:t>
      </w:r>
      <w:r w:rsidRPr="006F3A5D">
        <w:rPr>
          <w:rFonts w:ascii="Times New Roman" w:hAnsi="Times New Roman" w:cs="Times New Roman"/>
          <w:i/>
          <w:iCs/>
        </w:rPr>
        <w:t xml:space="preserve">in charge </w:t>
      </w:r>
      <w:r w:rsidRPr="006F3A5D">
        <w:rPr>
          <w:rFonts w:ascii="Times New Roman" w:hAnsi="Times New Roman" w:cs="Times New Roman"/>
        </w:rPr>
        <w:t xml:space="preserve">for the day (Ferguson-Patrick, 2022).  And if we had the courage to do this, we might learn a lot about ourselves and our relationship to democratic decision making and power in the process.  </w:t>
      </w:r>
    </w:p>
    <w:p w14:paraId="62F07218" w14:textId="749B0DDA" w:rsidR="00010712" w:rsidRDefault="004939F0" w:rsidP="001560F2">
      <w:pPr>
        <w:spacing w:after="120" w:line="240" w:lineRule="auto"/>
        <w:jc w:val="both"/>
        <w:rPr>
          <w:rFonts w:ascii="Times New Roman" w:hAnsi="Times New Roman" w:cs="Times New Roman"/>
        </w:rPr>
      </w:pPr>
      <w:r w:rsidRPr="00852992">
        <w:rPr>
          <w:rFonts w:ascii="Times New Roman" w:hAnsi="Times New Roman" w:cs="Times New Roman"/>
        </w:rPr>
        <w:t>We need to create safe space for young people to tell their stories, and raise their voices, and shape their democracies.</w:t>
      </w:r>
      <w:r w:rsidR="000B560C">
        <w:rPr>
          <w:rFonts w:ascii="Times New Roman" w:hAnsi="Times New Roman" w:cs="Times New Roman"/>
        </w:rPr>
        <w:t xml:space="preserve">  As </w:t>
      </w:r>
      <w:r w:rsidR="00BB2708">
        <w:rPr>
          <w:rFonts w:ascii="Times New Roman" w:hAnsi="Times New Roman" w:cs="Times New Roman"/>
        </w:rPr>
        <w:t xml:space="preserve">Phillips, </w:t>
      </w:r>
      <w:proofErr w:type="gramStart"/>
      <w:r w:rsidR="00BB2708">
        <w:rPr>
          <w:rFonts w:ascii="Times New Roman" w:hAnsi="Times New Roman" w:cs="Times New Roman"/>
        </w:rPr>
        <w:t>Perales</w:t>
      </w:r>
      <w:proofErr w:type="gramEnd"/>
      <w:r w:rsidR="00BB2708">
        <w:rPr>
          <w:rFonts w:ascii="Times New Roman" w:hAnsi="Times New Roman" w:cs="Times New Roman"/>
        </w:rPr>
        <w:t xml:space="preserve"> and Ritchie </w:t>
      </w:r>
      <w:r w:rsidR="008D3393">
        <w:rPr>
          <w:rFonts w:ascii="Times New Roman" w:hAnsi="Times New Roman" w:cs="Times New Roman"/>
        </w:rPr>
        <w:t>(2024) have recently reminded us</w:t>
      </w:r>
      <w:r w:rsidR="00010712">
        <w:rPr>
          <w:rFonts w:ascii="Times New Roman" w:hAnsi="Times New Roman" w:cs="Times New Roman"/>
        </w:rPr>
        <w:t xml:space="preserve"> in the context of reporting on ‘School Strike for Climate’ and related climate change activism</w:t>
      </w:r>
      <w:r w:rsidR="00642A08">
        <w:rPr>
          <w:rFonts w:ascii="Times New Roman" w:hAnsi="Times New Roman" w:cs="Times New Roman"/>
        </w:rPr>
        <w:t>:</w:t>
      </w:r>
    </w:p>
    <w:p w14:paraId="5DD974FA" w14:textId="177E4A2E" w:rsidR="004D5431" w:rsidRDefault="004D5431" w:rsidP="004774B2">
      <w:pPr>
        <w:pStyle w:val="Quote"/>
        <w:spacing w:after="120"/>
      </w:pPr>
      <w:r w:rsidRPr="00010712">
        <w:t xml:space="preserve"> children express their frustration at political systems that exclude their voices. This situation is particularly important because children will bear the brunt of future climate catastrophes.</w:t>
      </w:r>
    </w:p>
    <w:p w14:paraId="7517404C" w14:textId="72892272" w:rsidR="004D5431" w:rsidRPr="00642A08" w:rsidRDefault="00924F7B" w:rsidP="001560F2">
      <w:pPr>
        <w:spacing w:after="120" w:line="240" w:lineRule="auto"/>
        <w:jc w:val="both"/>
        <w:rPr>
          <w:rFonts w:ascii="Times New Roman" w:hAnsi="Times New Roman" w:cs="Times New Roman"/>
        </w:rPr>
      </w:pPr>
      <w:r w:rsidRPr="00642A08">
        <w:rPr>
          <w:rFonts w:ascii="Times New Roman" w:hAnsi="Times New Roman" w:cs="Times New Roman"/>
        </w:rPr>
        <w:t>T</w:t>
      </w:r>
      <w:r w:rsidR="00BE6274" w:rsidRPr="00642A08">
        <w:rPr>
          <w:rFonts w:ascii="Times New Roman" w:hAnsi="Times New Roman" w:cs="Times New Roman"/>
        </w:rPr>
        <w:t xml:space="preserve">he International Social Survey Program </w:t>
      </w:r>
      <w:r w:rsidRPr="00642A08">
        <w:rPr>
          <w:rFonts w:ascii="Times New Roman" w:hAnsi="Times New Roman" w:cs="Times New Roman"/>
        </w:rPr>
        <w:t xml:space="preserve">survey </w:t>
      </w:r>
      <w:r w:rsidR="004774B2" w:rsidRPr="00642A08">
        <w:rPr>
          <w:rFonts w:ascii="Times New Roman" w:hAnsi="Times New Roman" w:cs="Times New Roman"/>
        </w:rPr>
        <w:t>analysed</w:t>
      </w:r>
      <w:r w:rsidRPr="00642A08">
        <w:rPr>
          <w:rFonts w:ascii="Times New Roman" w:hAnsi="Times New Roman" w:cs="Times New Roman"/>
        </w:rPr>
        <w:t xml:space="preserve"> by the authors </w:t>
      </w:r>
      <w:r w:rsidR="00BE6274" w:rsidRPr="00642A08">
        <w:rPr>
          <w:rFonts w:ascii="Times New Roman" w:hAnsi="Times New Roman" w:cs="Times New Roman"/>
        </w:rPr>
        <w:t xml:space="preserve">suggests that older generations agree that </w:t>
      </w:r>
      <w:r w:rsidR="0017224F" w:rsidRPr="00642A08">
        <w:rPr>
          <w:rFonts w:ascii="Times New Roman" w:hAnsi="Times New Roman" w:cs="Times New Roman"/>
        </w:rPr>
        <w:t>children and young people’s views should being included in decision-making about the environment</w:t>
      </w:r>
      <w:r w:rsidRPr="00642A08">
        <w:rPr>
          <w:rFonts w:ascii="Times New Roman" w:hAnsi="Times New Roman" w:cs="Times New Roman"/>
        </w:rPr>
        <w:t xml:space="preserve">, and </w:t>
      </w:r>
      <w:r w:rsidR="009B2CE8" w:rsidRPr="00642A08">
        <w:rPr>
          <w:rFonts w:ascii="Times New Roman" w:hAnsi="Times New Roman" w:cs="Times New Roman"/>
        </w:rPr>
        <w:t>algins with</w:t>
      </w:r>
      <w:r w:rsidRPr="00642A08">
        <w:rPr>
          <w:rFonts w:ascii="Times New Roman" w:hAnsi="Times New Roman" w:cs="Times New Roman"/>
        </w:rPr>
        <w:t xml:space="preserve"> growing support among the broader population </w:t>
      </w:r>
      <w:r w:rsidR="009B2CE8" w:rsidRPr="00642A08">
        <w:rPr>
          <w:rFonts w:ascii="Times New Roman" w:hAnsi="Times New Roman" w:cs="Times New Roman"/>
        </w:rPr>
        <w:t xml:space="preserve">in Australia and New Zealand for lowering the voting age.  </w:t>
      </w:r>
      <w:r w:rsidR="00D24891" w:rsidRPr="00642A08">
        <w:rPr>
          <w:rFonts w:ascii="Times New Roman" w:hAnsi="Times New Roman" w:cs="Times New Roman"/>
        </w:rPr>
        <w:t>Phillips et al also report that:</w:t>
      </w:r>
    </w:p>
    <w:p w14:paraId="180A8ACA" w14:textId="6A093B47" w:rsidR="004D5431" w:rsidRPr="00642A08" w:rsidRDefault="004D5431" w:rsidP="001560F2">
      <w:pPr>
        <w:pStyle w:val="Quote"/>
        <w:spacing w:after="120"/>
      </w:pPr>
      <w:r w:rsidRPr="00642A08">
        <w:t>School climate strikes may be having a positive influence on adult attitudes towards including children in the political sphere. Media coverage of young people being politically active could also be shifting adults’ beliefs on young people’s political engagement.</w:t>
      </w:r>
    </w:p>
    <w:p w14:paraId="215A1F87" w14:textId="66F71139" w:rsidR="00642A08" w:rsidRPr="00642A08" w:rsidRDefault="004D5431" w:rsidP="001560F2">
      <w:pPr>
        <w:pStyle w:val="Quote"/>
        <w:spacing w:after="120"/>
      </w:pPr>
      <w:r w:rsidRPr="00642A08">
        <w:t>In other words, the more adults hear and see stories of children and young people’s concerns and restorative actions for the environment, the greater potential there is for adults to understand and support their perspectives.</w:t>
      </w:r>
    </w:p>
    <w:p w14:paraId="01CDC90D" w14:textId="4F9A736B" w:rsidR="0088403A" w:rsidRPr="00642A08" w:rsidRDefault="006A472C" w:rsidP="001560F2">
      <w:pPr>
        <w:spacing w:after="120" w:line="240" w:lineRule="auto"/>
        <w:jc w:val="both"/>
        <w:rPr>
          <w:rFonts w:ascii="Times New Roman" w:hAnsi="Times New Roman" w:cs="Times New Roman"/>
        </w:rPr>
      </w:pPr>
      <w:r w:rsidRPr="00642A08">
        <w:rPr>
          <w:rFonts w:ascii="Times New Roman" w:hAnsi="Times New Roman" w:cs="Times New Roman"/>
        </w:rPr>
        <w:t xml:space="preserve">The authors’ recommendations for ways forward align closely with the recommendations outlined in this </w:t>
      </w:r>
      <w:r w:rsidR="00394096" w:rsidRPr="00642A08">
        <w:rPr>
          <w:rFonts w:ascii="Times New Roman" w:hAnsi="Times New Roman" w:cs="Times New Roman"/>
        </w:rPr>
        <w:t>paper and</w:t>
      </w:r>
      <w:r w:rsidRPr="00642A08">
        <w:rPr>
          <w:rFonts w:ascii="Times New Roman" w:hAnsi="Times New Roman" w:cs="Times New Roman"/>
        </w:rPr>
        <w:t xml:space="preserve"> focus on the transfer of </w:t>
      </w:r>
      <w:r w:rsidRPr="00642A08">
        <w:rPr>
          <w:rFonts w:ascii="Times New Roman" w:hAnsi="Times New Roman" w:cs="Times New Roman"/>
          <w:i/>
          <w:iCs/>
        </w:rPr>
        <w:t xml:space="preserve">political and economic power </w:t>
      </w:r>
      <w:r w:rsidRPr="00642A08">
        <w:rPr>
          <w:rFonts w:ascii="Times New Roman" w:hAnsi="Times New Roman" w:cs="Times New Roman"/>
        </w:rPr>
        <w:t xml:space="preserve">between generations, </w:t>
      </w:r>
      <w:r w:rsidR="001560F2" w:rsidRPr="00642A08">
        <w:rPr>
          <w:rFonts w:ascii="Times New Roman" w:hAnsi="Times New Roman" w:cs="Times New Roman"/>
        </w:rPr>
        <w:t>to</w:t>
      </w:r>
      <w:r w:rsidRPr="00642A08">
        <w:rPr>
          <w:rFonts w:ascii="Times New Roman" w:hAnsi="Times New Roman" w:cs="Times New Roman"/>
        </w:rPr>
        <w:t xml:space="preserve"> ensure younger generations are equipped with the resources they need to continue to promote the democratic values, and protect the democratic institutions, that are shared between generations.  </w:t>
      </w:r>
    </w:p>
    <w:p w14:paraId="2518D354" w14:textId="58DD7B0A" w:rsidR="004939F0" w:rsidRPr="00642A08" w:rsidRDefault="00394096" w:rsidP="00642A08">
      <w:pPr>
        <w:spacing w:after="120" w:line="240" w:lineRule="auto"/>
        <w:jc w:val="both"/>
        <w:rPr>
          <w:rFonts w:ascii="Times New Roman" w:hAnsi="Times New Roman" w:cs="Times New Roman"/>
        </w:rPr>
      </w:pPr>
      <w:r>
        <w:rPr>
          <w:rFonts w:ascii="Times New Roman" w:hAnsi="Times New Roman" w:cs="Times New Roman"/>
        </w:rPr>
        <w:t>The body of evidence explored in this paper attests to the need for adults to challenge their assumptions about the lives of younger people, and to resist the temptation to respond to the political and economic needs of younger people by r</w:t>
      </w:r>
      <w:r w:rsidR="004939F0" w:rsidRPr="00642A08">
        <w:rPr>
          <w:rFonts w:ascii="Times New Roman" w:hAnsi="Times New Roman" w:cs="Times New Roman"/>
        </w:rPr>
        <w:t>epeatedly emphasis</w:t>
      </w:r>
      <w:r>
        <w:rPr>
          <w:rFonts w:ascii="Times New Roman" w:hAnsi="Times New Roman" w:cs="Times New Roman"/>
        </w:rPr>
        <w:t>ing</w:t>
      </w:r>
      <w:r w:rsidR="004939F0" w:rsidRPr="00642A08">
        <w:rPr>
          <w:rFonts w:ascii="Times New Roman" w:hAnsi="Times New Roman" w:cs="Times New Roman"/>
        </w:rPr>
        <w:t xml:space="preserve"> the complexities of the processes and trade-offs that feature in our society and our economy.  We often assume that young people need to be reminded about all the barriers that standing the way of change – but they already know they exist.  They feel their weight every day.  Instead, we need to open the door to our democratic institutions like parliament (both literally and metaphorically through uncovering how these institutions work) but then move out of the way so that young people can see a different horizon, one that looks good to them, and have the chance to tell us how they want to get there.  </w:t>
      </w:r>
    </w:p>
    <w:p w14:paraId="7B773F32" w14:textId="0783D405" w:rsidR="009C1E6D" w:rsidRPr="00642A08" w:rsidRDefault="009C1E6D" w:rsidP="00642A08">
      <w:pPr>
        <w:spacing w:after="120" w:line="240" w:lineRule="auto"/>
        <w:jc w:val="both"/>
        <w:rPr>
          <w:rFonts w:ascii="Times New Roman" w:hAnsi="Times New Roman" w:cs="Times New Roman"/>
        </w:rPr>
      </w:pPr>
      <w:r w:rsidRPr="00642A08">
        <w:rPr>
          <w:rFonts w:ascii="Times New Roman" w:hAnsi="Times New Roman" w:cs="Times New Roman"/>
        </w:rPr>
        <w:t>Our democratic future depends on our young people not just ‘getting involved’ but taking charge.  We need the courage to take a power-shifting approach to youth engagement with parliaments in Australia</w:t>
      </w:r>
      <w:r w:rsidR="008E2564" w:rsidRPr="00642A08">
        <w:rPr>
          <w:rFonts w:ascii="Times New Roman" w:hAnsi="Times New Roman" w:cs="Times New Roman"/>
        </w:rPr>
        <w:t xml:space="preserve"> that paves the way for the transfer of knowledge, values, and coping strategies between generations, to safeguard our democracy for all of us.</w:t>
      </w:r>
      <w:r w:rsidR="00394096">
        <w:rPr>
          <w:rFonts w:ascii="Times New Roman" w:hAnsi="Times New Roman" w:cs="Times New Roman"/>
        </w:rPr>
        <w:t xml:space="preserve">  </w:t>
      </w:r>
    </w:p>
    <w:p w14:paraId="49AF348E" w14:textId="77777777" w:rsidR="009C1E6D" w:rsidRPr="00642A08" w:rsidRDefault="009C1E6D" w:rsidP="00642A08">
      <w:pPr>
        <w:spacing w:after="120" w:line="240" w:lineRule="auto"/>
        <w:jc w:val="both"/>
        <w:rPr>
          <w:rFonts w:ascii="Times New Roman" w:hAnsi="Times New Roman" w:cs="Times New Roman"/>
        </w:rPr>
      </w:pPr>
    </w:p>
    <w:p w14:paraId="51571D99" w14:textId="77777777" w:rsidR="00385F6D" w:rsidRPr="006F3A5D" w:rsidRDefault="00385F6D" w:rsidP="00A811FC">
      <w:pPr>
        <w:pStyle w:val="Heading2"/>
      </w:pPr>
      <w:r w:rsidRPr="006F3A5D">
        <w:br w:type="page"/>
      </w:r>
    </w:p>
    <w:p w14:paraId="532A709B" w14:textId="23BABC6E" w:rsidR="00385F6D" w:rsidRDefault="00F32714" w:rsidP="00F32714">
      <w:pPr>
        <w:pStyle w:val="Heading1"/>
        <w:rPr>
          <w:rFonts w:ascii="Times New Roman" w:hAnsi="Times New Roman" w:cs="Times New Roman"/>
        </w:rPr>
      </w:pPr>
      <w:r w:rsidRPr="006F3A5D">
        <w:rPr>
          <w:rFonts w:ascii="Times New Roman" w:hAnsi="Times New Roman" w:cs="Times New Roman"/>
        </w:rPr>
        <w:lastRenderedPageBreak/>
        <w:t>References</w:t>
      </w:r>
    </w:p>
    <w:p w14:paraId="78FCF37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Australian Council for Educational Research (ACER). (2017). Civics and Citizenship Education: An Australian Perspective. Retrieved from ACER</w:t>
      </w:r>
    </w:p>
    <w:p w14:paraId="1B16028A"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Australian Curriculum, Assessment and Reporting Authority (ACARA). (2020). Australian Curriculum: Civics and Citizenship. Retrieved from ACARA</w:t>
      </w:r>
    </w:p>
    <w:p w14:paraId="366C32F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Australian Youth Climate Coalition (AYCC). (2023). About Us. Retrieved from AYCC</w:t>
      </w:r>
    </w:p>
    <w:p w14:paraId="6FECD8FE"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Brett, P., </w:t>
      </w:r>
      <w:proofErr w:type="spellStart"/>
      <w:r w:rsidRPr="00826C10">
        <w:rPr>
          <w:rFonts w:ascii="Times New Roman" w:eastAsia="Times New Roman" w:hAnsi="Times New Roman" w:cs="Times New Roman"/>
          <w:kern w:val="0"/>
          <w:sz w:val="20"/>
          <w:szCs w:val="20"/>
          <w:lang w:eastAsia="en-AU"/>
          <w14:ligatures w14:val="none"/>
        </w:rPr>
        <w:t>Heggart</w:t>
      </w:r>
      <w:proofErr w:type="spellEnd"/>
      <w:r w:rsidRPr="00826C10">
        <w:rPr>
          <w:rFonts w:ascii="Times New Roman" w:eastAsia="Times New Roman" w:hAnsi="Times New Roman" w:cs="Times New Roman"/>
          <w:kern w:val="0"/>
          <w:sz w:val="20"/>
          <w:szCs w:val="20"/>
          <w:lang w:eastAsia="en-AU"/>
          <w14:ligatures w14:val="none"/>
        </w:rPr>
        <w:t>, K., &amp; Fenton, S. (2021). No Minister. Examining recent commentary on the draft Australian History and Civics and Citizenship curriculum. Social Educator, 39(3), 3–16.</w:t>
      </w:r>
    </w:p>
    <w:p w14:paraId="6C4D743E"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Catherine Waite, Lucas Walsh, Beatriz Gallo Cordoba, Blake </w:t>
      </w:r>
      <w:proofErr w:type="gramStart"/>
      <w:r w:rsidRPr="00826C10">
        <w:rPr>
          <w:rFonts w:ascii="Times New Roman" w:eastAsia="Times New Roman" w:hAnsi="Times New Roman" w:cs="Times New Roman"/>
          <w:kern w:val="0"/>
          <w:sz w:val="20"/>
          <w:szCs w:val="20"/>
          <w:lang w:eastAsia="en-AU"/>
          <w14:ligatures w14:val="none"/>
        </w:rPr>
        <w:t>Cutler</w:t>
      </w:r>
      <w:proofErr w:type="gramEnd"/>
      <w:r w:rsidRPr="00826C10">
        <w:rPr>
          <w:rFonts w:ascii="Times New Roman" w:eastAsia="Times New Roman" w:hAnsi="Times New Roman" w:cs="Times New Roman"/>
          <w:kern w:val="0"/>
          <w:sz w:val="20"/>
          <w:szCs w:val="20"/>
          <w:lang w:eastAsia="en-AU"/>
          <w14:ligatures w14:val="none"/>
        </w:rPr>
        <w:t xml:space="preserve"> and Thuc Bao Huynh, ‘About them, without them? Figures of youth in Australian policy 2014-2021’ (2024) Journal of Youth Studies 1.</w:t>
      </w:r>
    </w:p>
    <w:p w14:paraId="727164FB"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Democracy Taskforce (2024), Strengthening Australian democracy: A practical agenda for democratic resilience, Department of Home Affairs, Commonwealth of Australia.</w:t>
      </w:r>
    </w:p>
    <w:p w14:paraId="0823A998" w14:textId="35BAE7E8" w:rsidR="00727CCC" w:rsidRPr="00727CCC" w:rsidRDefault="00727CCC" w:rsidP="00826C10">
      <w:pPr>
        <w:spacing w:after="120" w:line="240" w:lineRule="auto"/>
        <w:rPr>
          <w:rFonts w:ascii="Times New Roman" w:eastAsia="Times New Roman" w:hAnsi="Times New Roman" w:cs="Times New Roman"/>
          <w:kern w:val="0"/>
          <w:sz w:val="20"/>
          <w:szCs w:val="20"/>
          <w:lang w:eastAsia="en-AU"/>
          <w14:ligatures w14:val="none"/>
        </w:rPr>
      </w:pPr>
      <w:r w:rsidRPr="00727CCC">
        <w:rPr>
          <w:rFonts w:ascii="Times New Roman" w:hAnsi="Times New Roman" w:cs="Times New Roman"/>
          <w:sz w:val="20"/>
          <w:szCs w:val="20"/>
          <w:shd w:val="clear" w:color="auto" w:fill="FFFFFF"/>
        </w:rPr>
        <w:t>Eichhorn, Jan and Johannes Bergh (eds), </w:t>
      </w:r>
      <w:r w:rsidRPr="00727CCC">
        <w:rPr>
          <w:rFonts w:ascii="Times New Roman" w:hAnsi="Times New Roman" w:cs="Times New Roman"/>
          <w:i/>
          <w:iCs/>
          <w:sz w:val="20"/>
          <w:szCs w:val="20"/>
          <w:shd w:val="clear" w:color="auto" w:fill="FFFFFF"/>
        </w:rPr>
        <w:t xml:space="preserve">Lowering the Voting Age to </w:t>
      </w:r>
      <w:proofErr w:type="gramStart"/>
      <w:r w:rsidRPr="00727CCC">
        <w:rPr>
          <w:rFonts w:ascii="Times New Roman" w:hAnsi="Times New Roman" w:cs="Times New Roman"/>
          <w:i/>
          <w:iCs/>
          <w:sz w:val="20"/>
          <w:szCs w:val="20"/>
          <w:shd w:val="clear" w:color="auto" w:fill="FFFFFF"/>
        </w:rPr>
        <w:t>16 :</w:t>
      </w:r>
      <w:proofErr w:type="gramEnd"/>
      <w:r w:rsidRPr="00727CCC">
        <w:rPr>
          <w:rFonts w:ascii="Times New Roman" w:hAnsi="Times New Roman" w:cs="Times New Roman"/>
          <w:i/>
          <w:iCs/>
          <w:sz w:val="20"/>
          <w:szCs w:val="20"/>
          <w:shd w:val="clear" w:color="auto" w:fill="FFFFFF"/>
        </w:rPr>
        <w:t xml:space="preserve"> Learning from Real Experiences Worldwide</w:t>
      </w:r>
      <w:r w:rsidRPr="00727CCC">
        <w:rPr>
          <w:rFonts w:ascii="Times New Roman" w:hAnsi="Times New Roman" w:cs="Times New Roman"/>
          <w:sz w:val="20"/>
          <w:szCs w:val="20"/>
          <w:shd w:val="clear" w:color="auto" w:fill="FFFFFF"/>
        </w:rPr>
        <w:t> (Springer International Publishing, 1st ed. 2020., 2020)</w:t>
      </w:r>
    </w:p>
    <w:p w14:paraId="033BF822"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Firth, L., &amp; Smith, A. (2014). Inquiry-Based Learning in Australian Classrooms: Improving Student Engagement and Learning Outcomes. Australian Journal of Education, 58(2), 205-220.</w:t>
      </w:r>
    </w:p>
    <w:p w14:paraId="2EAAE913"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Gordon, N. (2018). Digital Tools and Civic Education: Enhancing Engagement Through Technology. Australian Educational Review, 21(3), 45-59.</w:t>
      </w:r>
    </w:p>
    <w:p w14:paraId="6DBC44A2"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Green, D, Price, D &amp; Emanuele, G 2023, ‘Response: Historical empathy: ethical and culturally responsive history teaching’, pp. 1-1.</w:t>
      </w:r>
    </w:p>
    <w:p w14:paraId="6AA1FDA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Hall, G., &amp; Tudball, L. (2023). Enabling grass roots activism and human rights-based education for sustainability: case studies of Australian youth organisations. Human Rights Education Review, 6(1), 95–115.</w:t>
      </w:r>
    </w:p>
    <w:p w14:paraId="638DB561"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Hall, Jane, Andrew </w:t>
      </w:r>
      <w:proofErr w:type="spellStart"/>
      <w:r w:rsidRPr="00826C10">
        <w:rPr>
          <w:rFonts w:ascii="Times New Roman" w:eastAsia="Times New Roman" w:hAnsi="Times New Roman" w:cs="Times New Roman"/>
          <w:kern w:val="0"/>
          <w:sz w:val="20"/>
          <w:szCs w:val="20"/>
          <w:lang w:eastAsia="en-AU"/>
          <w14:ligatures w14:val="none"/>
        </w:rPr>
        <w:t>Podger</w:t>
      </w:r>
      <w:proofErr w:type="spellEnd"/>
      <w:r w:rsidRPr="00826C10">
        <w:rPr>
          <w:rFonts w:ascii="Times New Roman" w:eastAsia="Times New Roman" w:hAnsi="Times New Roman" w:cs="Times New Roman"/>
          <w:kern w:val="0"/>
          <w:sz w:val="20"/>
          <w:szCs w:val="20"/>
          <w:lang w:eastAsia="en-AU"/>
          <w14:ligatures w14:val="none"/>
        </w:rPr>
        <w:t xml:space="preserve"> and Mike Woods, More Than </w:t>
      </w:r>
      <w:proofErr w:type="gramStart"/>
      <w:r w:rsidRPr="00826C10">
        <w:rPr>
          <w:rFonts w:ascii="Times New Roman" w:eastAsia="Times New Roman" w:hAnsi="Times New Roman" w:cs="Times New Roman"/>
          <w:kern w:val="0"/>
          <w:sz w:val="20"/>
          <w:szCs w:val="20"/>
          <w:lang w:eastAsia="en-AU"/>
          <w14:ligatures w14:val="none"/>
        </w:rPr>
        <w:t>Fiscal :</w:t>
      </w:r>
      <w:proofErr w:type="gramEnd"/>
      <w:r w:rsidRPr="00826C10">
        <w:rPr>
          <w:rFonts w:ascii="Times New Roman" w:eastAsia="Times New Roman" w:hAnsi="Times New Roman" w:cs="Times New Roman"/>
          <w:kern w:val="0"/>
          <w:sz w:val="20"/>
          <w:szCs w:val="20"/>
          <w:lang w:eastAsia="en-AU"/>
          <w14:ligatures w14:val="none"/>
        </w:rPr>
        <w:t xml:space="preserve"> The Intergenerational Report, Sustainability and Public Policy in Australia. (ANU Press, 1st ed., 2023)</w:t>
      </w:r>
    </w:p>
    <w:p w14:paraId="4E743AC8"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Henderson, D. &amp; Tudball, L. (2016). Democratic and participatory citizenship: youth action for sustainability in Australia. Asian Education and Development Studies 5(1), 5-19. (Special Issue: Educating for democracy: issues and debates).</w:t>
      </w:r>
    </w:p>
    <w:p w14:paraId="5BFFDDC0"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Henderson, D. &amp; Tudball, L. (2017). More than national education: Possibilities for critical participatory learning in the Australian curriculum through Civics and Citizenship. Curriculum Perspectives, 37(1), 51-61. DOI 51-61. 10.1007/s41297-017-0010-1</w:t>
      </w:r>
    </w:p>
    <w:p w14:paraId="01EAF97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Hill, L., &amp; Rutledge-Prior, S. (2016). Young people and intentional informal voting in Australia. Australian Journal of Political Science, 51(3), 400-417.</w:t>
      </w:r>
    </w:p>
    <w:p w14:paraId="2E707D6E"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Ian McAllister, ‘The Politics of Lowering the Voting Age in Australia: Evaluating the Evidence’ (2014) 49(1) Australian journal of political science </w:t>
      </w:r>
      <w:proofErr w:type="gramStart"/>
      <w:r w:rsidRPr="00826C10">
        <w:rPr>
          <w:rFonts w:ascii="Times New Roman" w:eastAsia="Times New Roman" w:hAnsi="Times New Roman" w:cs="Times New Roman"/>
          <w:kern w:val="0"/>
          <w:sz w:val="20"/>
          <w:szCs w:val="20"/>
          <w:lang w:eastAsia="en-AU"/>
          <w14:ligatures w14:val="none"/>
        </w:rPr>
        <w:t>68</w:t>
      </w:r>
      <w:proofErr w:type="gramEnd"/>
    </w:p>
    <w:p w14:paraId="759B714A" w14:textId="003A22BB" w:rsidR="00733230" w:rsidRPr="00733230" w:rsidRDefault="00733230" w:rsidP="00733230">
      <w:pPr>
        <w:spacing w:after="60" w:line="240" w:lineRule="auto"/>
        <w:rPr>
          <w:rFonts w:ascii="Times New Roman" w:hAnsi="Times New Roman" w:cs="Times New Roman"/>
          <w:sz w:val="20"/>
          <w:szCs w:val="20"/>
        </w:rPr>
      </w:pPr>
      <w:r w:rsidRPr="00DB70EA">
        <w:rPr>
          <w:rFonts w:ascii="Times New Roman" w:hAnsi="Times New Roman" w:cs="Times New Roman"/>
          <w:sz w:val="20"/>
          <w:szCs w:val="20"/>
        </w:rPr>
        <w:t>Joint Standing Committee on Electoral Matters (2018), ‘Advisory Report: Commonwealth Electoral Amendment (Lowering Voting Age and Increasing Voter Participation) Bill 2018’, Parliament of Australia (March 2019)</w:t>
      </w:r>
    </w:p>
    <w:p w14:paraId="2C88B7D6"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Kalitowski</w:t>
      </w:r>
      <w:proofErr w:type="spellEnd"/>
      <w:r w:rsidRPr="00826C10">
        <w:rPr>
          <w:rFonts w:ascii="Times New Roman" w:eastAsia="Times New Roman" w:hAnsi="Times New Roman" w:cs="Times New Roman"/>
          <w:kern w:val="0"/>
          <w:sz w:val="20"/>
          <w:szCs w:val="20"/>
          <w:lang w:eastAsia="en-AU"/>
          <w14:ligatures w14:val="none"/>
        </w:rPr>
        <w:t>, S. (2009). Parliament for the People? Public Knowledge, Interest and Perceptions of the Westminster Parliament. Parliamentary Affairs, 62(2), 350-363.</w:t>
      </w:r>
    </w:p>
    <w:p w14:paraId="1401532E"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Karacaoglu</w:t>
      </w:r>
      <w:proofErr w:type="spellEnd"/>
      <w:r w:rsidRPr="00826C10">
        <w:rPr>
          <w:rFonts w:ascii="Times New Roman" w:eastAsia="Times New Roman" w:hAnsi="Times New Roman" w:cs="Times New Roman"/>
          <w:kern w:val="0"/>
          <w:sz w:val="20"/>
          <w:szCs w:val="20"/>
          <w:lang w:eastAsia="en-AU"/>
          <w14:ligatures w14:val="none"/>
        </w:rPr>
        <w:t xml:space="preserve">, </w:t>
      </w:r>
      <w:proofErr w:type="spellStart"/>
      <w:r w:rsidRPr="00826C10">
        <w:rPr>
          <w:rFonts w:ascii="Times New Roman" w:eastAsia="Times New Roman" w:hAnsi="Times New Roman" w:cs="Times New Roman"/>
          <w:kern w:val="0"/>
          <w:sz w:val="20"/>
          <w:szCs w:val="20"/>
          <w:lang w:eastAsia="en-AU"/>
          <w14:ligatures w14:val="none"/>
        </w:rPr>
        <w:t>Girol</w:t>
      </w:r>
      <w:proofErr w:type="spellEnd"/>
      <w:r w:rsidRPr="00826C10">
        <w:rPr>
          <w:rFonts w:ascii="Times New Roman" w:eastAsia="Times New Roman" w:hAnsi="Times New Roman" w:cs="Times New Roman"/>
          <w:kern w:val="0"/>
          <w:sz w:val="20"/>
          <w:szCs w:val="20"/>
          <w:lang w:eastAsia="en-AU"/>
          <w14:ligatures w14:val="none"/>
        </w:rPr>
        <w:t xml:space="preserve">, Jacek B Krawczyk and Anita King, Intergenerational Wellbeing and Public Policy: An Integrated Environmental, Social, and Economic Framework (Springer Singapore </w:t>
      </w:r>
      <w:proofErr w:type="spellStart"/>
      <w:r w:rsidRPr="00826C10">
        <w:rPr>
          <w:rFonts w:ascii="Times New Roman" w:eastAsia="Times New Roman" w:hAnsi="Times New Roman" w:cs="Times New Roman"/>
          <w:kern w:val="0"/>
          <w:sz w:val="20"/>
          <w:szCs w:val="20"/>
          <w:lang w:eastAsia="en-AU"/>
          <w14:ligatures w14:val="none"/>
        </w:rPr>
        <w:t>Pte.</w:t>
      </w:r>
      <w:proofErr w:type="spellEnd"/>
      <w:r w:rsidRPr="00826C10">
        <w:rPr>
          <w:rFonts w:ascii="Times New Roman" w:eastAsia="Times New Roman" w:hAnsi="Times New Roman" w:cs="Times New Roman"/>
          <w:kern w:val="0"/>
          <w:sz w:val="20"/>
          <w:szCs w:val="20"/>
          <w:lang w:eastAsia="en-AU"/>
          <w14:ligatures w14:val="none"/>
        </w:rPr>
        <w:t xml:space="preserve"> Limited, 1st ed, 2019)</w:t>
      </w:r>
    </w:p>
    <w:p w14:paraId="11E0B54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Kennedy, K., &amp; Henderson, D. (2024). Curriculum, Pedagogy and Assessment. Melbourne: Pearson Australia.</w:t>
      </w:r>
    </w:p>
    <w:p w14:paraId="7497F72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Lee, J., Park, S. &amp; Notley, T. (2024). Exploring the effects of news literacy education on news literacy and digital civic engagement among young people. Paper to be presented at the </w:t>
      </w:r>
      <w:proofErr w:type="spellStart"/>
      <w:r w:rsidRPr="00826C10">
        <w:rPr>
          <w:rFonts w:ascii="Times New Roman" w:eastAsia="Times New Roman" w:hAnsi="Times New Roman" w:cs="Times New Roman"/>
          <w:kern w:val="0"/>
          <w:sz w:val="20"/>
          <w:szCs w:val="20"/>
          <w:lang w:eastAsia="en-AU"/>
          <w14:ligatures w14:val="none"/>
        </w:rPr>
        <w:t>the</w:t>
      </w:r>
      <w:proofErr w:type="spellEnd"/>
      <w:r w:rsidRPr="00826C10">
        <w:rPr>
          <w:rFonts w:ascii="Times New Roman" w:eastAsia="Times New Roman" w:hAnsi="Times New Roman" w:cs="Times New Roman"/>
          <w:kern w:val="0"/>
          <w:sz w:val="20"/>
          <w:szCs w:val="20"/>
          <w:lang w:eastAsia="en-AU"/>
          <w14:ligatures w14:val="none"/>
        </w:rPr>
        <w:t xml:space="preserve"> </w:t>
      </w:r>
      <w:proofErr w:type="gramStart"/>
      <w:r w:rsidRPr="00826C10">
        <w:rPr>
          <w:rFonts w:ascii="Times New Roman" w:eastAsia="Times New Roman" w:hAnsi="Times New Roman" w:cs="Times New Roman"/>
          <w:kern w:val="0"/>
          <w:sz w:val="20"/>
          <w:szCs w:val="20"/>
          <w:lang w:eastAsia="en-AU"/>
          <w14:ligatures w14:val="none"/>
        </w:rPr>
        <w:t>74rd</w:t>
      </w:r>
      <w:proofErr w:type="gramEnd"/>
    </w:p>
    <w:p w14:paraId="04F27FFF"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Local Government Association of Queensland. (2023). Youth Engagement and Participation. Retrieved from LGAQ</w:t>
      </w:r>
    </w:p>
    <w:p w14:paraId="66251CD8"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MacSmith</w:t>
      </w:r>
      <w:proofErr w:type="spellEnd"/>
      <w:r w:rsidRPr="00826C10">
        <w:rPr>
          <w:rFonts w:ascii="Times New Roman" w:eastAsia="Times New Roman" w:hAnsi="Times New Roman" w:cs="Times New Roman"/>
          <w:kern w:val="0"/>
          <w:sz w:val="20"/>
          <w:szCs w:val="20"/>
          <w:lang w:eastAsia="en-AU"/>
          <w14:ligatures w14:val="none"/>
        </w:rPr>
        <w:t>, Mark, The Australian Millennial Report. 2021. (Millennial Future, 2021)</w:t>
      </w:r>
    </w:p>
    <w:p w14:paraId="38D0880D"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lastRenderedPageBreak/>
        <w:t>McAllister, I. 2012. The Politics of lowering the voting age in Australia: Evaluating the evidence. Prepared for the AEC Electoral Research Forum, 19-20 November 2012, Canberra, p. 6.</w:t>
      </w:r>
    </w:p>
    <w:p w14:paraId="24B504B9" w14:textId="439F9F3B" w:rsidR="002D67EE" w:rsidRDefault="002D67EE" w:rsidP="00826C10">
      <w:pPr>
        <w:spacing w:after="120" w:line="240" w:lineRule="auto"/>
        <w:rPr>
          <w:rFonts w:ascii="Times New Roman" w:eastAsia="Times New Roman" w:hAnsi="Times New Roman" w:cs="Times New Roman"/>
          <w:kern w:val="0"/>
          <w:sz w:val="20"/>
          <w:szCs w:val="20"/>
          <w:lang w:eastAsia="en-AU"/>
          <w14:ligatures w14:val="none"/>
        </w:rPr>
      </w:pPr>
      <w:r w:rsidRPr="002D67EE">
        <w:rPr>
          <w:rFonts w:ascii="Times New Roman" w:eastAsia="Times New Roman" w:hAnsi="Times New Roman" w:cs="Times New Roman"/>
          <w:kern w:val="0"/>
          <w:sz w:val="20"/>
          <w:szCs w:val="20"/>
          <w:lang w:eastAsia="en-AU"/>
          <w14:ligatures w14:val="none"/>
        </w:rPr>
        <w:t>McAllister, Ian, ‘The Politics of Lowering the Voting Age in Australia: Evaluating the Evidence’ (2014) 49(1) Australian journal of political science </w:t>
      </w:r>
      <w:proofErr w:type="gramStart"/>
      <w:r w:rsidRPr="002D67EE">
        <w:rPr>
          <w:rFonts w:ascii="Times New Roman" w:eastAsia="Times New Roman" w:hAnsi="Times New Roman" w:cs="Times New Roman"/>
          <w:kern w:val="0"/>
          <w:sz w:val="20"/>
          <w:szCs w:val="20"/>
          <w:lang w:eastAsia="en-AU"/>
          <w14:ligatures w14:val="none"/>
        </w:rPr>
        <w:t>68</w:t>
      </w:r>
      <w:proofErr w:type="gramEnd"/>
    </w:p>
    <w:p w14:paraId="31F6B33C" w14:textId="7228670F" w:rsidR="00943E6A" w:rsidRPr="00943E6A" w:rsidRDefault="00943E6A" w:rsidP="00826C10">
      <w:pPr>
        <w:spacing w:after="120" w:line="240" w:lineRule="auto"/>
        <w:rPr>
          <w:rFonts w:ascii="Times New Roman" w:eastAsia="Times New Roman" w:hAnsi="Times New Roman" w:cs="Times New Roman"/>
          <w:kern w:val="0"/>
          <w:sz w:val="20"/>
          <w:szCs w:val="20"/>
          <w:lang w:eastAsia="en-AU"/>
          <w14:ligatures w14:val="none"/>
        </w:rPr>
      </w:pPr>
      <w:r w:rsidRPr="00943E6A">
        <w:rPr>
          <w:rFonts w:ascii="Times New Roman" w:hAnsi="Times New Roman" w:cs="Times New Roman"/>
          <w:sz w:val="20"/>
          <w:szCs w:val="20"/>
          <w:shd w:val="clear" w:color="auto" w:fill="FFFFFF"/>
        </w:rPr>
        <w:t>Meagher</w:t>
      </w:r>
      <w:r w:rsidRPr="00943E6A">
        <w:rPr>
          <w:rFonts w:ascii="Times New Roman" w:hAnsi="Times New Roman" w:cs="Times New Roman"/>
          <w:sz w:val="20"/>
          <w:szCs w:val="20"/>
          <w:shd w:val="clear" w:color="auto" w:fill="FFFFFF"/>
        </w:rPr>
        <w:t>, Dan</w:t>
      </w:r>
      <w:r w:rsidRPr="00943E6A">
        <w:rPr>
          <w:rFonts w:ascii="Times New Roman" w:hAnsi="Times New Roman" w:cs="Times New Roman"/>
          <w:sz w:val="20"/>
          <w:szCs w:val="20"/>
          <w:shd w:val="clear" w:color="auto" w:fill="FFFFFF"/>
        </w:rPr>
        <w:t xml:space="preserve"> and Andrew </w:t>
      </w:r>
      <w:proofErr w:type="spellStart"/>
      <w:r w:rsidRPr="00943E6A">
        <w:rPr>
          <w:rFonts w:ascii="Times New Roman" w:hAnsi="Times New Roman" w:cs="Times New Roman"/>
          <w:sz w:val="20"/>
          <w:szCs w:val="20"/>
          <w:shd w:val="clear" w:color="auto" w:fill="FFFFFF"/>
        </w:rPr>
        <w:t>Geddis</w:t>
      </w:r>
      <w:proofErr w:type="spellEnd"/>
      <w:r w:rsidRPr="00943E6A">
        <w:rPr>
          <w:rFonts w:ascii="Times New Roman" w:hAnsi="Times New Roman" w:cs="Times New Roman"/>
          <w:sz w:val="20"/>
          <w:szCs w:val="20"/>
          <w:shd w:val="clear" w:color="auto" w:fill="FFFFFF"/>
        </w:rPr>
        <w:t>,</w:t>
      </w:r>
      <w:r w:rsidRPr="00943E6A">
        <w:rPr>
          <w:rFonts w:ascii="Times New Roman" w:hAnsi="Times New Roman" w:cs="Times New Roman"/>
          <w:sz w:val="20"/>
          <w:szCs w:val="20"/>
          <w:shd w:val="clear" w:color="auto" w:fill="FFFFFF"/>
        </w:rPr>
        <w:t xml:space="preserve"> (2023)</w:t>
      </w:r>
      <w:r w:rsidRPr="00943E6A">
        <w:rPr>
          <w:rFonts w:ascii="Times New Roman" w:hAnsi="Times New Roman" w:cs="Times New Roman"/>
          <w:sz w:val="20"/>
          <w:szCs w:val="20"/>
          <w:shd w:val="clear" w:color="auto" w:fill="FFFFFF"/>
        </w:rPr>
        <w:t xml:space="preserve"> ‘Voting Age and Non-Discrimination in New Zealand’ (3) </w:t>
      </w:r>
      <w:r w:rsidRPr="00943E6A">
        <w:rPr>
          <w:rFonts w:ascii="Times New Roman" w:hAnsi="Times New Roman" w:cs="Times New Roman"/>
          <w:i/>
          <w:iCs/>
          <w:sz w:val="20"/>
          <w:szCs w:val="20"/>
          <w:shd w:val="clear" w:color="auto" w:fill="FFFFFF"/>
        </w:rPr>
        <w:t>Public law</w:t>
      </w:r>
      <w:r w:rsidRPr="00943E6A">
        <w:rPr>
          <w:rFonts w:ascii="Times New Roman" w:hAnsi="Times New Roman" w:cs="Times New Roman"/>
          <w:sz w:val="20"/>
          <w:szCs w:val="20"/>
          <w:shd w:val="clear" w:color="auto" w:fill="FFFFFF"/>
        </w:rPr>
        <w:t> </w:t>
      </w:r>
      <w:proofErr w:type="gramStart"/>
      <w:r w:rsidRPr="00943E6A">
        <w:rPr>
          <w:rFonts w:ascii="Times New Roman" w:hAnsi="Times New Roman" w:cs="Times New Roman"/>
          <w:sz w:val="20"/>
          <w:szCs w:val="20"/>
          <w:shd w:val="clear" w:color="auto" w:fill="FFFFFF"/>
        </w:rPr>
        <w:t>393</w:t>
      </w:r>
      <w:proofErr w:type="gramEnd"/>
    </w:p>
    <w:p w14:paraId="33001EAF"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Miragliotta</w:t>
      </w:r>
      <w:proofErr w:type="spellEnd"/>
      <w:r w:rsidRPr="00826C10">
        <w:rPr>
          <w:rFonts w:ascii="Times New Roman" w:eastAsia="Times New Roman" w:hAnsi="Times New Roman" w:cs="Times New Roman"/>
          <w:kern w:val="0"/>
          <w:sz w:val="20"/>
          <w:szCs w:val="20"/>
          <w:lang w:eastAsia="en-AU"/>
          <w14:ligatures w14:val="none"/>
        </w:rPr>
        <w:t xml:space="preserve">, Narelle, Sarah </w:t>
      </w:r>
      <w:proofErr w:type="gramStart"/>
      <w:r w:rsidRPr="00826C10">
        <w:rPr>
          <w:rFonts w:ascii="Times New Roman" w:eastAsia="Times New Roman" w:hAnsi="Times New Roman" w:cs="Times New Roman"/>
          <w:kern w:val="0"/>
          <w:sz w:val="20"/>
          <w:szCs w:val="20"/>
          <w:lang w:eastAsia="en-AU"/>
          <w14:ligatures w14:val="none"/>
        </w:rPr>
        <w:t>Murray</w:t>
      </w:r>
      <w:proofErr w:type="gramEnd"/>
      <w:r w:rsidRPr="00826C10">
        <w:rPr>
          <w:rFonts w:ascii="Times New Roman" w:eastAsia="Times New Roman" w:hAnsi="Times New Roman" w:cs="Times New Roman"/>
          <w:kern w:val="0"/>
          <w:sz w:val="20"/>
          <w:szCs w:val="20"/>
          <w:lang w:eastAsia="en-AU"/>
          <w14:ligatures w14:val="none"/>
        </w:rPr>
        <w:t xml:space="preserve"> and Martin Drum, ‘Values, Partisan Interest, and the Voting Age: Lessons from Australia’ (2021) 49(5) Politics &amp; policy (Statesboro, Ga.) 1192</w:t>
      </w:r>
    </w:p>
    <w:p w14:paraId="26A5EFC0"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Moulds, S 2024, ‘Connected parliaments: creating space for young people to shape our democracy’, in A Pepe (ed.), Beyond Broken: Different Systems for Different Futures, (MOD) University of South Australia, Australia, </w:t>
      </w:r>
      <w:proofErr w:type="spellStart"/>
      <w:r w:rsidRPr="00826C10">
        <w:rPr>
          <w:rFonts w:ascii="Times New Roman" w:eastAsia="Times New Roman" w:hAnsi="Times New Roman" w:cs="Times New Roman"/>
          <w:kern w:val="0"/>
          <w:sz w:val="20"/>
          <w:szCs w:val="20"/>
          <w:lang w:eastAsia="en-AU"/>
          <w14:ligatures w14:val="none"/>
        </w:rPr>
        <w:t>ch.</w:t>
      </w:r>
      <w:proofErr w:type="spellEnd"/>
      <w:r w:rsidRPr="00826C10">
        <w:rPr>
          <w:rFonts w:ascii="Times New Roman" w:eastAsia="Times New Roman" w:hAnsi="Times New Roman" w:cs="Times New Roman"/>
          <w:kern w:val="0"/>
          <w:sz w:val="20"/>
          <w:szCs w:val="20"/>
          <w:lang w:eastAsia="en-AU"/>
          <w14:ligatures w14:val="none"/>
        </w:rPr>
        <w:t xml:space="preserve"> 5, part 1, pp. 184-192.</w:t>
      </w:r>
    </w:p>
    <w:p w14:paraId="694572F2" w14:textId="77777777" w:rsidR="00C03C9E" w:rsidRPr="00C03C9E" w:rsidRDefault="00C03C9E" w:rsidP="00826C10">
      <w:pPr>
        <w:spacing w:after="120" w:line="240" w:lineRule="auto"/>
        <w:rPr>
          <w:rFonts w:ascii="Times New Roman" w:eastAsia="Times New Roman" w:hAnsi="Times New Roman" w:cs="Times New Roman"/>
          <w:kern w:val="0"/>
          <w:sz w:val="20"/>
          <w:szCs w:val="20"/>
          <w:lang w:eastAsia="en-AU"/>
          <w14:ligatures w14:val="none"/>
        </w:rPr>
      </w:pPr>
      <w:r w:rsidRPr="00C03C9E">
        <w:rPr>
          <w:rFonts w:ascii="Times New Roman" w:eastAsia="Times New Roman" w:hAnsi="Times New Roman" w:cs="Times New Roman"/>
          <w:kern w:val="0"/>
          <w:sz w:val="20"/>
          <w:szCs w:val="20"/>
          <w:lang w:eastAsia="en-AU"/>
          <w14:ligatures w14:val="none"/>
        </w:rPr>
        <w:t>Moulds, Sarah, Connected Parliaments: Reimagining Youth Engagement with Parliaments in Australia (Winston Churchill Trust Australia, 2022)</w:t>
      </w:r>
    </w:p>
    <w:p w14:paraId="46EB59DD" w14:textId="4E673ABE"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J. (2017). Neoliberal Education? Comparing Character and Citizenship Education in Singapore and Civics and Citizenship Education in Australia. Journal of Social Science Education, 16(3), 29-39</w:t>
      </w:r>
    </w:p>
    <w:p w14:paraId="4DE3473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J. (2021). Citizenship and democratic education in the time of rising nationalism: Implications for citizenship education from the cases of Australia and Singapore. Citizenship Teaching and Learning, 16(3), 361-379</w:t>
      </w:r>
    </w:p>
    <w:p w14:paraId="232F808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xml:space="preserve">, J. (2021). Directions for Global Citizenship Education: Lessons from Two Australian Primary Schools. In J. </w:t>
      </w:r>
      <w:proofErr w:type="spellStart"/>
      <w:r w:rsidRPr="00826C10">
        <w:rPr>
          <w:rFonts w:ascii="Times New Roman" w:eastAsia="Times New Roman" w:hAnsi="Times New Roman" w:cs="Times New Roman"/>
          <w:kern w:val="0"/>
          <w:sz w:val="20"/>
          <w:szCs w:val="20"/>
          <w:lang w:eastAsia="en-AU"/>
          <w14:ligatures w14:val="none"/>
        </w:rPr>
        <w:t>Zajda</w:t>
      </w:r>
      <w:proofErr w:type="spellEnd"/>
      <w:r w:rsidRPr="00826C10">
        <w:rPr>
          <w:rFonts w:ascii="Times New Roman" w:eastAsia="Times New Roman" w:hAnsi="Times New Roman" w:cs="Times New Roman"/>
          <w:kern w:val="0"/>
          <w:sz w:val="20"/>
          <w:szCs w:val="20"/>
          <w:lang w:eastAsia="en-AU"/>
          <w14:ligatures w14:val="none"/>
        </w:rPr>
        <w:t xml:space="preserve"> &amp; S. </w:t>
      </w:r>
      <w:proofErr w:type="spellStart"/>
      <w:r w:rsidRPr="00826C10">
        <w:rPr>
          <w:rFonts w:ascii="Times New Roman" w:eastAsia="Times New Roman" w:hAnsi="Times New Roman" w:cs="Times New Roman"/>
          <w:kern w:val="0"/>
          <w:sz w:val="20"/>
          <w:szCs w:val="20"/>
          <w:lang w:eastAsia="en-AU"/>
          <w14:ligatures w14:val="none"/>
        </w:rPr>
        <w:t>Majhanovich</w:t>
      </w:r>
      <w:proofErr w:type="spellEnd"/>
      <w:r w:rsidRPr="00826C10">
        <w:rPr>
          <w:rFonts w:ascii="Times New Roman" w:eastAsia="Times New Roman" w:hAnsi="Times New Roman" w:cs="Times New Roman"/>
          <w:kern w:val="0"/>
          <w:sz w:val="20"/>
          <w:szCs w:val="20"/>
          <w:lang w:eastAsia="en-AU"/>
          <w14:ligatures w14:val="none"/>
        </w:rPr>
        <w:t xml:space="preserve"> (Eds.), Globalisation, Cultural Identity and Nation-Building: The Changing Paradigms, (pp. 123-141). Dordrecht: Springer.</w:t>
      </w:r>
    </w:p>
    <w:p w14:paraId="70620DA2"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J. Y. (2019). The study of the practice of civics and citizenship education in New South Wales primary schools (Doctor of Philosophy). The University of Sydney,</w:t>
      </w:r>
    </w:p>
    <w:p w14:paraId="7CB1FD3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NSW Government. (2023). Youth Engagement. Retrieved from NSW Government</w:t>
      </w:r>
    </w:p>
    <w:p w14:paraId="534BAFBF"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Park, S., Lee, J. Y., Notley, T., &amp; </w:t>
      </w:r>
      <w:proofErr w:type="spellStart"/>
      <w:r w:rsidRPr="00826C10">
        <w:rPr>
          <w:rFonts w:ascii="Times New Roman" w:eastAsia="Times New Roman" w:hAnsi="Times New Roman" w:cs="Times New Roman"/>
          <w:kern w:val="0"/>
          <w:sz w:val="20"/>
          <w:szCs w:val="20"/>
          <w:lang w:eastAsia="en-AU"/>
          <w14:ligatures w14:val="none"/>
        </w:rPr>
        <w:t>Dezuanni</w:t>
      </w:r>
      <w:proofErr w:type="spellEnd"/>
      <w:r w:rsidRPr="00826C10">
        <w:rPr>
          <w:rFonts w:ascii="Times New Roman" w:eastAsia="Times New Roman" w:hAnsi="Times New Roman" w:cs="Times New Roman"/>
          <w:kern w:val="0"/>
          <w:sz w:val="20"/>
          <w:szCs w:val="20"/>
          <w:lang w:eastAsia="en-AU"/>
          <w14:ligatures w14:val="none"/>
        </w:rPr>
        <w:t>, M. (2023) Exploring the relationship between media literacy, online interaction, and civic engagement. The Information Society, 1-12.</w:t>
      </w:r>
    </w:p>
    <w:p w14:paraId="36D581DD" w14:textId="0738E9D3" w:rsidR="00826C10" w:rsidRPr="00826C10" w:rsidRDefault="00826C10" w:rsidP="00826C10">
      <w:pPr>
        <w:spacing w:after="120" w:line="240" w:lineRule="auto"/>
        <w:rPr>
          <w:rFonts w:ascii="Times New Roman" w:hAnsi="Times New Roman" w:cs="Times New Roman"/>
          <w:sz w:val="20"/>
          <w:szCs w:val="20"/>
        </w:rPr>
      </w:pPr>
      <w:r w:rsidRPr="00826C10">
        <w:rPr>
          <w:rFonts w:ascii="Times New Roman" w:hAnsi="Times New Roman" w:cs="Times New Roman"/>
          <w:sz w:val="20"/>
          <w:szCs w:val="20"/>
        </w:rPr>
        <w:t>Phillips, L, Perales F and Ritchie, J.  ‘Are young climate activists finally being heard? Our research shows adults support youth voice to parliament</w:t>
      </w:r>
      <w:proofErr w:type="gramStart"/>
      <w:r w:rsidRPr="00826C10">
        <w:rPr>
          <w:rFonts w:ascii="Times New Roman" w:hAnsi="Times New Roman" w:cs="Times New Roman"/>
          <w:sz w:val="20"/>
          <w:szCs w:val="20"/>
        </w:rPr>
        <w:t>’,  1</w:t>
      </w:r>
      <w:proofErr w:type="gramEnd"/>
      <w:r w:rsidRPr="00826C10">
        <w:rPr>
          <w:rFonts w:ascii="Times New Roman" w:hAnsi="Times New Roman" w:cs="Times New Roman"/>
          <w:sz w:val="20"/>
          <w:szCs w:val="20"/>
        </w:rPr>
        <w:t xml:space="preserve"> August 2024, </w:t>
      </w:r>
      <w:r w:rsidRPr="00826C10">
        <w:rPr>
          <w:rFonts w:ascii="Times New Roman" w:hAnsi="Times New Roman" w:cs="Times New Roman"/>
          <w:i/>
          <w:iCs/>
          <w:sz w:val="20"/>
          <w:szCs w:val="20"/>
        </w:rPr>
        <w:t>The Conversation</w:t>
      </w:r>
      <w:r w:rsidRPr="00826C10">
        <w:rPr>
          <w:rFonts w:ascii="Times New Roman" w:hAnsi="Times New Roman" w:cs="Times New Roman"/>
          <w:sz w:val="20"/>
          <w:szCs w:val="20"/>
        </w:rPr>
        <w:t xml:space="preserve"> &lt;https://theconversation.com/are-young-climate-activists-finally-being-heard-our-research-shows-adults-support-youth-voice-to-parliament-235409&gt;</w:t>
      </w:r>
    </w:p>
    <w:p w14:paraId="7AB00D0C" w14:textId="7A46D31C" w:rsidR="00BB2708"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Price, D &amp; Green, D 2019, ‘HASS for everyone: Inclusive approaches respectful of learner diversity’, in D Green &amp; D Price (eds), Making Humanities and Social Sciences Come Alive: Early Years and Primary Education, Cambridge University Press, UK, </w:t>
      </w:r>
      <w:proofErr w:type="spellStart"/>
      <w:r w:rsidRPr="00826C10">
        <w:rPr>
          <w:rFonts w:ascii="Times New Roman" w:eastAsia="Times New Roman" w:hAnsi="Times New Roman" w:cs="Times New Roman"/>
          <w:kern w:val="0"/>
          <w:sz w:val="20"/>
          <w:szCs w:val="20"/>
          <w:lang w:eastAsia="en-AU"/>
          <w14:ligatures w14:val="none"/>
        </w:rPr>
        <w:t>ch.</w:t>
      </w:r>
      <w:proofErr w:type="spellEnd"/>
      <w:r w:rsidRPr="00826C10">
        <w:rPr>
          <w:rFonts w:ascii="Times New Roman" w:eastAsia="Times New Roman" w:hAnsi="Times New Roman" w:cs="Times New Roman"/>
          <w:kern w:val="0"/>
          <w:sz w:val="20"/>
          <w:szCs w:val="20"/>
          <w:lang w:eastAsia="en-AU"/>
          <w14:ligatures w14:val="none"/>
        </w:rPr>
        <w:t xml:space="preserve"> 22, pp. 400-418.</w:t>
      </w:r>
    </w:p>
    <w:p w14:paraId="25D163DA" w14:textId="5F2688FE" w:rsidR="00733620" w:rsidRPr="0044670F" w:rsidRDefault="00733620" w:rsidP="0044670F">
      <w:pPr>
        <w:spacing w:after="120" w:line="240" w:lineRule="auto"/>
        <w:rPr>
          <w:rFonts w:ascii="Times New Roman" w:eastAsia="Times New Roman" w:hAnsi="Times New Roman" w:cs="Times New Roman"/>
          <w:kern w:val="0"/>
          <w:sz w:val="20"/>
          <w:szCs w:val="20"/>
          <w:lang w:eastAsia="en-AU"/>
          <w14:ligatures w14:val="none"/>
        </w:rPr>
      </w:pPr>
      <w:r w:rsidRPr="0044670F">
        <w:rPr>
          <w:rFonts w:ascii="Times New Roman" w:eastAsia="Times New Roman" w:hAnsi="Times New Roman" w:cs="Times New Roman"/>
          <w:kern w:val="0"/>
          <w:sz w:val="20"/>
          <w:szCs w:val="20"/>
          <w:lang w:eastAsia="en-AU"/>
          <w14:ligatures w14:val="none"/>
        </w:rPr>
        <w:t>South Australian Student Representative Council</w:t>
      </w:r>
      <w:r w:rsidR="00760E48" w:rsidRPr="0044670F">
        <w:rPr>
          <w:rFonts w:ascii="Times New Roman" w:eastAsia="Times New Roman" w:hAnsi="Times New Roman" w:cs="Times New Roman"/>
          <w:kern w:val="0"/>
          <w:sz w:val="20"/>
          <w:szCs w:val="20"/>
          <w:lang w:eastAsia="en-AU"/>
          <w14:ligatures w14:val="none"/>
        </w:rPr>
        <w:t xml:space="preserve"> (2024) ‘</w:t>
      </w:r>
      <w:r w:rsidR="00760E48" w:rsidRPr="0044670F">
        <w:rPr>
          <w:rFonts w:ascii="Times New Roman" w:eastAsia="Times New Roman" w:hAnsi="Times New Roman" w:cs="Times New Roman"/>
          <w:kern w:val="0"/>
          <w:sz w:val="20"/>
          <w:szCs w:val="20"/>
          <w:lang w:eastAsia="en-AU"/>
          <w14:ligatures w14:val="none"/>
        </w:rPr>
        <w:t>SA SRC issues prioritised for action</w:t>
      </w:r>
      <w:r w:rsidR="00760E48" w:rsidRPr="0044670F">
        <w:rPr>
          <w:rFonts w:ascii="Times New Roman" w:eastAsia="Times New Roman" w:hAnsi="Times New Roman" w:cs="Times New Roman"/>
          <w:kern w:val="0"/>
          <w:sz w:val="20"/>
          <w:szCs w:val="20"/>
          <w:lang w:eastAsia="en-AU"/>
          <w14:ligatures w14:val="none"/>
        </w:rPr>
        <w:t xml:space="preserve">’, Commissioner for Children and Young People SA, Website </w:t>
      </w:r>
      <w:r w:rsidR="0044670F" w:rsidRPr="0044670F">
        <w:rPr>
          <w:rFonts w:ascii="Times New Roman" w:eastAsia="Times New Roman" w:hAnsi="Times New Roman" w:cs="Times New Roman"/>
          <w:kern w:val="0"/>
          <w:sz w:val="20"/>
          <w:szCs w:val="20"/>
          <w:lang w:eastAsia="en-AU"/>
          <w14:ligatures w14:val="none"/>
        </w:rPr>
        <w:t>&lt;</w:t>
      </w:r>
      <w:r w:rsidR="0044670F" w:rsidRPr="0044670F">
        <w:rPr>
          <w:rFonts w:ascii="Times New Roman" w:eastAsia="Times New Roman" w:hAnsi="Times New Roman" w:cs="Times New Roman"/>
          <w:kern w:val="0"/>
          <w:sz w:val="20"/>
          <w:szCs w:val="20"/>
          <w:lang w:eastAsia="en-AU"/>
          <w14:ligatures w14:val="none"/>
        </w:rPr>
        <w:t>https://civicsandcitizenshipsa.com.au/young-people/sa-src/</w:t>
      </w:r>
      <w:r w:rsidR="0044670F" w:rsidRPr="0044670F">
        <w:rPr>
          <w:rFonts w:ascii="Times New Roman" w:eastAsia="Times New Roman" w:hAnsi="Times New Roman" w:cs="Times New Roman"/>
          <w:kern w:val="0"/>
          <w:sz w:val="20"/>
          <w:szCs w:val="20"/>
          <w:lang w:eastAsia="en-AU"/>
          <w14:ligatures w14:val="none"/>
        </w:rPr>
        <w:t>&gt;</w:t>
      </w:r>
    </w:p>
    <w:p w14:paraId="7A318DE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Smith, B., </w:t>
      </w: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Y., McDowall, A. &amp; Kim, E. (2024). Preparing teachers for critical global and democratic practice: Shifting inquiries into the teaching of democracy and global citizenship in teacher education. Curriculum Perspectives. Access article here:</w:t>
      </w:r>
    </w:p>
    <w:p w14:paraId="6873832A"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Threadgold, S. 2020. “Figures of Youth: On the Very Object of Youth Studies.” Journal of Youth Studies 23 (6): 686–701.</w:t>
      </w:r>
    </w:p>
    <w:p w14:paraId="7AAE8C93" w14:textId="45C5083D" w:rsidR="00040519" w:rsidRPr="00040519" w:rsidRDefault="00040519" w:rsidP="00826C10">
      <w:pPr>
        <w:spacing w:after="120" w:line="240" w:lineRule="auto"/>
        <w:rPr>
          <w:rFonts w:ascii="Times New Roman" w:eastAsia="Times New Roman" w:hAnsi="Times New Roman" w:cs="Times New Roman"/>
          <w:kern w:val="0"/>
          <w:sz w:val="20"/>
          <w:szCs w:val="20"/>
          <w:lang w:eastAsia="en-AU"/>
          <w14:ligatures w14:val="none"/>
        </w:rPr>
      </w:pPr>
      <w:proofErr w:type="spellStart"/>
      <w:r w:rsidRPr="00040519">
        <w:rPr>
          <w:rFonts w:ascii="Times New Roman" w:hAnsi="Times New Roman" w:cs="Times New Roman"/>
          <w:sz w:val="20"/>
          <w:szCs w:val="20"/>
          <w:shd w:val="clear" w:color="auto" w:fill="FFFFFF"/>
        </w:rPr>
        <w:t>Tonge</w:t>
      </w:r>
      <w:proofErr w:type="spellEnd"/>
      <w:r w:rsidRPr="00040519">
        <w:rPr>
          <w:rFonts w:ascii="Times New Roman" w:hAnsi="Times New Roman" w:cs="Times New Roman"/>
          <w:sz w:val="20"/>
          <w:szCs w:val="20"/>
          <w:shd w:val="clear" w:color="auto" w:fill="FFFFFF"/>
        </w:rPr>
        <w:t xml:space="preserve">, Jonathan, Thomas Loughran and Andrew </w:t>
      </w:r>
      <w:proofErr w:type="spellStart"/>
      <w:r w:rsidRPr="00040519">
        <w:rPr>
          <w:rFonts w:ascii="Times New Roman" w:hAnsi="Times New Roman" w:cs="Times New Roman"/>
          <w:sz w:val="20"/>
          <w:szCs w:val="20"/>
          <w:shd w:val="clear" w:color="auto" w:fill="FFFFFF"/>
        </w:rPr>
        <w:t>Mycock</w:t>
      </w:r>
      <w:proofErr w:type="spellEnd"/>
      <w:r w:rsidRPr="00040519">
        <w:rPr>
          <w:rFonts w:ascii="Times New Roman" w:hAnsi="Times New Roman" w:cs="Times New Roman"/>
          <w:sz w:val="20"/>
          <w:szCs w:val="20"/>
          <w:shd w:val="clear" w:color="auto" w:fill="FFFFFF"/>
        </w:rPr>
        <w:t>, ‘Voting Age Reform, Political Partisanship and Multi-Level Governance in the UK: The Party Politics of “Votes-at-16”’ (2021) 74(3) </w:t>
      </w:r>
      <w:r w:rsidRPr="00040519">
        <w:rPr>
          <w:rFonts w:ascii="Times New Roman" w:hAnsi="Times New Roman" w:cs="Times New Roman"/>
          <w:i/>
          <w:iCs/>
          <w:sz w:val="20"/>
          <w:szCs w:val="20"/>
          <w:shd w:val="clear" w:color="auto" w:fill="FFFFFF"/>
        </w:rPr>
        <w:t>Parliamentary affairs</w:t>
      </w:r>
      <w:r w:rsidRPr="00040519">
        <w:rPr>
          <w:rFonts w:ascii="Times New Roman" w:hAnsi="Times New Roman" w:cs="Times New Roman"/>
          <w:sz w:val="20"/>
          <w:szCs w:val="20"/>
          <w:shd w:val="clear" w:color="auto" w:fill="FFFFFF"/>
        </w:rPr>
        <w:t> </w:t>
      </w:r>
      <w:proofErr w:type="gramStart"/>
      <w:r w:rsidRPr="00040519">
        <w:rPr>
          <w:rFonts w:ascii="Times New Roman" w:hAnsi="Times New Roman" w:cs="Times New Roman"/>
          <w:sz w:val="20"/>
          <w:szCs w:val="20"/>
          <w:shd w:val="clear" w:color="auto" w:fill="FFFFFF"/>
        </w:rPr>
        <w:t>522</w:t>
      </w:r>
      <w:proofErr w:type="gramEnd"/>
    </w:p>
    <w:p w14:paraId="327BDDE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Tudball, L. &amp; Henderson, D. (2013). A New Civics Curriculum for Australian schools – is it National </w:t>
      </w:r>
      <w:proofErr w:type="gramStart"/>
      <w:r w:rsidRPr="00826C10">
        <w:rPr>
          <w:rFonts w:ascii="Times New Roman" w:eastAsia="Times New Roman" w:hAnsi="Times New Roman" w:cs="Times New Roman"/>
          <w:kern w:val="0"/>
          <w:sz w:val="20"/>
          <w:szCs w:val="20"/>
          <w:lang w:eastAsia="en-AU"/>
          <w14:ligatures w14:val="none"/>
        </w:rPr>
        <w:t>Education?,</w:t>
      </w:r>
      <w:proofErr w:type="gramEnd"/>
      <w:r w:rsidRPr="00826C10">
        <w:rPr>
          <w:rFonts w:ascii="Times New Roman" w:eastAsia="Times New Roman" w:hAnsi="Times New Roman" w:cs="Times New Roman"/>
          <w:kern w:val="0"/>
          <w:sz w:val="20"/>
          <w:szCs w:val="20"/>
          <w:lang w:eastAsia="en-AU"/>
          <w14:ligatures w14:val="none"/>
        </w:rPr>
        <w:t xml:space="preserve"> CGC Working Paper Series No. 2013/001 (March). Centre for Governance and Citizenship, the Hong Kong Institute of Education, Hong Kong.</w:t>
      </w:r>
    </w:p>
    <w:p w14:paraId="54FC426D"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Tudball, L. &amp; Henderson, D. (2013). Experiential teaching and learning for Asia literacy through civics and citizenship education. Curriculum Perspectives, 33(3), 83-85.</w:t>
      </w:r>
    </w:p>
    <w:p w14:paraId="6C8D3E30"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Tudball, L. &amp; Henderson, D. (2014). Contested notions of Civics and Citizenship education as national education in the Australian Curriculum. Curriculum and Teaching 29(2), 5-24.</w:t>
      </w:r>
    </w:p>
    <w:p w14:paraId="0197BB8A"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lastRenderedPageBreak/>
        <w:t>Victorian Government. (2023). Victorian Youth Advisory Council. Retrieved from Victorian Government</w:t>
      </w:r>
    </w:p>
    <w:p w14:paraId="7B88115E" w14:textId="7BC46372" w:rsidR="00165E91" w:rsidRPr="00826C10" w:rsidRDefault="00165E91"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hAnsi="Times New Roman" w:cs="Times New Roman"/>
          <w:color w:val="222222"/>
          <w:sz w:val="20"/>
          <w:szCs w:val="20"/>
          <w:shd w:val="clear" w:color="auto" w:fill="FFFFFF"/>
        </w:rPr>
        <w:t xml:space="preserve">Ward, L., Ray, M., Tanner, D. (2020). Understanding the Social Care Crisis in England Through Older People’s Lived Experiences. In: Urban, P., Ward, L. (eds) </w:t>
      </w:r>
      <w:r w:rsidRPr="00826C10">
        <w:rPr>
          <w:rFonts w:ascii="Times New Roman" w:hAnsi="Times New Roman" w:cs="Times New Roman"/>
          <w:i/>
          <w:iCs/>
          <w:color w:val="222222"/>
          <w:sz w:val="20"/>
          <w:szCs w:val="20"/>
          <w:shd w:val="clear" w:color="auto" w:fill="FFFFFF"/>
        </w:rPr>
        <w:t xml:space="preserve">Care Ethics, Democratic </w:t>
      </w:r>
      <w:proofErr w:type="gramStart"/>
      <w:r w:rsidRPr="00826C10">
        <w:rPr>
          <w:rFonts w:ascii="Times New Roman" w:hAnsi="Times New Roman" w:cs="Times New Roman"/>
          <w:i/>
          <w:iCs/>
          <w:color w:val="222222"/>
          <w:sz w:val="20"/>
          <w:szCs w:val="20"/>
          <w:shd w:val="clear" w:color="auto" w:fill="FFFFFF"/>
        </w:rPr>
        <w:t>Citizenship</w:t>
      </w:r>
      <w:proofErr w:type="gramEnd"/>
      <w:r w:rsidRPr="00826C10">
        <w:rPr>
          <w:rFonts w:ascii="Times New Roman" w:hAnsi="Times New Roman" w:cs="Times New Roman"/>
          <w:i/>
          <w:iCs/>
          <w:color w:val="222222"/>
          <w:sz w:val="20"/>
          <w:szCs w:val="20"/>
          <w:shd w:val="clear" w:color="auto" w:fill="FFFFFF"/>
        </w:rPr>
        <w:t xml:space="preserve"> and the State. International Political Theory</w:t>
      </w:r>
      <w:r w:rsidRPr="00826C10">
        <w:rPr>
          <w:rFonts w:ascii="Times New Roman" w:hAnsi="Times New Roman" w:cs="Times New Roman"/>
          <w:color w:val="222222"/>
          <w:sz w:val="20"/>
          <w:szCs w:val="20"/>
          <w:shd w:val="clear" w:color="auto" w:fill="FFFFFF"/>
        </w:rPr>
        <w:t>. Palgrave Macmillan, Cham. https://doi.org/10.1007/978-3-030-41437-5_11</w:t>
      </w:r>
    </w:p>
    <w:p w14:paraId="3502599A"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Williams, L. (2022). Indigenous intergenerational resilience: Confronting cultural and ecological crisis. Taylor and Francis.</w:t>
      </w:r>
    </w:p>
    <w:p w14:paraId="363432D4" w14:textId="77777777" w:rsidR="004777B5" w:rsidRPr="00826C10"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 xml:space="preserve">Wright, Katie and Julie McLeod (eds), Childhood, Youth and </w:t>
      </w:r>
      <w:proofErr w:type="gramStart"/>
      <w:r w:rsidRPr="00826C10">
        <w:rPr>
          <w:rFonts w:ascii="Times New Roman" w:eastAsia="Times New Roman" w:hAnsi="Times New Roman" w:cs="Times New Roman"/>
          <w:kern w:val="0"/>
          <w:sz w:val="20"/>
          <w:szCs w:val="20"/>
          <w:lang w:eastAsia="en-AU"/>
          <w14:ligatures w14:val="none"/>
        </w:rPr>
        <w:t>Activism :</w:t>
      </w:r>
      <w:proofErr w:type="gramEnd"/>
      <w:r w:rsidRPr="00826C10">
        <w:rPr>
          <w:rFonts w:ascii="Times New Roman" w:eastAsia="Times New Roman" w:hAnsi="Times New Roman" w:cs="Times New Roman"/>
          <w:kern w:val="0"/>
          <w:sz w:val="20"/>
          <w:szCs w:val="20"/>
          <w:lang w:eastAsia="en-AU"/>
          <w14:ligatures w14:val="none"/>
        </w:rPr>
        <w:t xml:space="preserve"> Demands for Rights and Justice from Young People and Their Advocates (Emerald Publishing Limited, 2023)</w:t>
      </w:r>
    </w:p>
    <w:p w14:paraId="0B8EB1BE" w14:textId="77777777" w:rsidR="004777B5" w:rsidRDefault="004777B5" w:rsidP="00826C10">
      <w:pPr>
        <w:spacing w:after="120" w:line="240" w:lineRule="auto"/>
        <w:rPr>
          <w:rFonts w:ascii="Times New Roman" w:eastAsia="Times New Roman" w:hAnsi="Times New Roman" w:cs="Times New Roman"/>
          <w:kern w:val="0"/>
          <w:sz w:val="20"/>
          <w:szCs w:val="20"/>
          <w:lang w:eastAsia="en-AU"/>
          <w14:ligatures w14:val="none"/>
        </w:rPr>
      </w:pPr>
      <w:r w:rsidRPr="00826C10">
        <w:rPr>
          <w:rFonts w:ascii="Times New Roman" w:eastAsia="Times New Roman" w:hAnsi="Times New Roman" w:cs="Times New Roman"/>
          <w:kern w:val="0"/>
          <w:sz w:val="20"/>
          <w:szCs w:val="20"/>
          <w:lang w:eastAsia="en-AU"/>
          <w14:ligatures w14:val="none"/>
        </w:rPr>
        <w:t>YMCA Youth Parliament. (2023). About Youth Parliament. Retrieved from YMCA</w:t>
      </w:r>
    </w:p>
    <w:p w14:paraId="51282DD1" w14:textId="0D728A76" w:rsidR="002376DE" w:rsidRPr="002376DE" w:rsidRDefault="002376DE" w:rsidP="00826C10">
      <w:pPr>
        <w:spacing w:after="120" w:line="240" w:lineRule="auto"/>
        <w:rPr>
          <w:rFonts w:ascii="Times New Roman" w:eastAsia="Times New Roman" w:hAnsi="Times New Roman" w:cs="Times New Roman"/>
          <w:kern w:val="0"/>
          <w:sz w:val="20"/>
          <w:szCs w:val="20"/>
          <w:lang w:eastAsia="en-AU"/>
          <w14:ligatures w14:val="none"/>
        </w:rPr>
      </w:pPr>
      <w:r w:rsidRPr="002376DE">
        <w:rPr>
          <w:rFonts w:ascii="Times New Roman" w:hAnsi="Times New Roman" w:cs="Times New Roman"/>
          <w:sz w:val="20"/>
          <w:szCs w:val="20"/>
        </w:rPr>
        <w:t xml:space="preserve">YMCA Federal Youth Engagement Strategy Submission, ‘What do Australia’s Youth Parliament Think, 2023, p.5 </w:t>
      </w:r>
      <w:proofErr w:type="gramStart"/>
      <w:r w:rsidRPr="002376DE">
        <w:rPr>
          <w:rFonts w:ascii="Times New Roman" w:hAnsi="Times New Roman" w:cs="Times New Roman"/>
          <w:sz w:val="20"/>
          <w:szCs w:val="20"/>
        </w:rPr>
        <w:t>https://ymca.org.au/wp-content/uploads/2023/12/Youth-Engagement-Strategy-Submission.pdf</w:t>
      </w:r>
      <w:proofErr w:type="gramEnd"/>
    </w:p>
    <w:p w14:paraId="51122917" w14:textId="2739C942" w:rsidR="004777B5" w:rsidRPr="004777B5" w:rsidRDefault="004777B5" w:rsidP="00826C10">
      <w:pPr>
        <w:spacing w:after="120" w:line="240" w:lineRule="auto"/>
      </w:pPr>
      <w:r w:rsidRPr="00826C10">
        <w:rPr>
          <w:rFonts w:ascii="Times New Roman" w:eastAsia="Times New Roman" w:hAnsi="Times New Roman" w:cs="Times New Roman"/>
          <w:kern w:val="0"/>
          <w:sz w:val="20"/>
          <w:szCs w:val="20"/>
          <w:lang w:eastAsia="en-AU"/>
          <w14:ligatures w14:val="none"/>
        </w:rPr>
        <w:t xml:space="preserve">Zhang, W., Chen, Z., Chia, Y., </w:t>
      </w:r>
      <w:proofErr w:type="spellStart"/>
      <w:r w:rsidRPr="00826C10">
        <w:rPr>
          <w:rFonts w:ascii="Times New Roman" w:eastAsia="Times New Roman" w:hAnsi="Times New Roman" w:cs="Times New Roman"/>
          <w:kern w:val="0"/>
          <w:sz w:val="20"/>
          <w:szCs w:val="20"/>
          <w:lang w:eastAsia="en-AU"/>
          <w14:ligatures w14:val="none"/>
        </w:rPr>
        <w:t>Neoh</w:t>
      </w:r>
      <w:proofErr w:type="spellEnd"/>
      <w:r w:rsidRPr="00826C10">
        <w:rPr>
          <w:rFonts w:ascii="Times New Roman" w:eastAsia="Times New Roman" w:hAnsi="Times New Roman" w:cs="Times New Roman"/>
          <w:kern w:val="0"/>
          <w:sz w:val="20"/>
          <w:szCs w:val="20"/>
          <w:lang w:eastAsia="en-AU"/>
          <w14:ligatures w14:val="none"/>
        </w:rPr>
        <w:t>, J. (2022). Rethinking civic education in the digital era: How media, school, and youth negotiate the meaning of citizenship. The International Communication Gazette, 84(4), 287-305</w:t>
      </w:r>
      <w:r w:rsidR="00826C10">
        <w:rPr>
          <w:rFonts w:ascii="Times New Roman" w:eastAsia="Times New Roman" w:hAnsi="Times New Roman" w:cs="Times New Roman"/>
          <w:kern w:val="0"/>
          <w:sz w:val="20"/>
          <w:szCs w:val="20"/>
          <w:lang w:eastAsia="en-AU"/>
          <w14:ligatures w14:val="none"/>
        </w:rPr>
        <w:t xml:space="preserve"> </w:t>
      </w:r>
    </w:p>
    <w:sectPr w:rsidR="004777B5" w:rsidRPr="004777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6CAD" w14:textId="77777777" w:rsidR="00722DC4" w:rsidRDefault="00722DC4" w:rsidP="0073462B">
      <w:pPr>
        <w:spacing w:after="0" w:line="240" w:lineRule="auto"/>
      </w:pPr>
      <w:r>
        <w:separator/>
      </w:r>
    </w:p>
  </w:endnote>
  <w:endnote w:type="continuationSeparator" w:id="0">
    <w:p w14:paraId="0C376D5A" w14:textId="77777777" w:rsidR="00722DC4" w:rsidRDefault="00722DC4" w:rsidP="0073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65283"/>
      <w:docPartObj>
        <w:docPartGallery w:val="Page Numbers (Bottom of Page)"/>
        <w:docPartUnique/>
      </w:docPartObj>
    </w:sdtPr>
    <w:sdtEndPr>
      <w:rPr>
        <w:noProof/>
      </w:rPr>
    </w:sdtEndPr>
    <w:sdtContent>
      <w:p w14:paraId="65B4956D" w14:textId="09524AAD" w:rsidR="003963BC" w:rsidRDefault="003963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17C619" w14:textId="77777777" w:rsidR="003963BC" w:rsidRDefault="00396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836504"/>
      <w:docPartObj>
        <w:docPartGallery w:val="Page Numbers (Bottom of Page)"/>
        <w:docPartUnique/>
      </w:docPartObj>
    </w:sdtPr>
    <w:sdtEndPr>
      <w:rPr>
        <w:noProof/>
      </w:rPr>
    </w:sdtEndPr>
    <w:sdtContent>
      <w:p w14:paraId="57631A0E" w14:textId="6AD0E86C" w:rsidR="0073462B" w:rsidRDefault="007346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BE093" w14:textId="77777777" w:rsidR="0073462B" w:rsidRDefault="0073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2778" w14:textId="77777777" w:rsidR="00722DC4" w:rsidRDefault="00722DC4" w:rsidP="0073462B">
      <w:pPr>
        <w:spacing w:after="0" w:line="240" w:lineRule="auto"/>
      </w:pPr>
      <w:r>
        <w:separator/>
      </w:r>
    </w:p>
  </w:footnote>
  <w:footnote w:type="continuationSeparator" w:id="0">
    <w:p w14:paraId="088F35A4" w14:textId="77777777" w:rsidR="00722DC4" w:rsidRDefault="00722DC4" w:rsidP="007346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C43"/>
    <w:multiLevelType w:val="multilevel"/>
    <w:tmpl w:val="991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B6C5F"/>
    <w:multiLevelType w:val="multilevel"/>
    <w:tmpl w:val="96A2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3439D"/>
    <w:multiLevelType w:val="multilevel"/>
    <w:tmpl w:val="61B24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9D0FFE"/>
    <w:multiLevelType w:val="hybridMultilevel"/>
    <w:tmpl w:val="755E11E0"/>
    <w:lvl w:ilvl="0" w:tplc="BA025B48">
      <w:start w:val="1"/>
      <w:numFmt w:val="bullet"/>
      <w:pStyle w:val="Bullets"/>
      <w:lvlText w:val=""/>
      <w:lvlJc w:val="left"/>
      <w:pPr>
        <w:ind w:left="502"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0116475"/>
    <w:multiLevelType w:val="multilevel"/>
    <w:tmpl w:val="612A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C5108"/>
    <w:multiLevelType w:val="hybridMultilevel"/>
    <w:tmpl w:val="8FA412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011502"/>
    <w:multiLevelType w:val="multilevel"/>
    <w:tmpl w:val="3CB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E287B"/>
    <w:multiLevelType w:val="multilevel"/>
    <w:tmpl w:val="68949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91593"/>
    <w:multiLevelType w:val="multilevel"/>
    <w:tmpl w:val="D19E4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427C6"/>
    <w:multiLevelType w:val="hybridMultilevel"/>
    <w:tmpl w:val="2E1C3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052FDC"/>
    <w:multiLevelType w:val="hybridMultilevel"/>
    <w:tmpl w:val="82CC4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6E0163"/>
    <w:multiLevelType w:val="multilevel"/>
    <w:tmpl w:val="D0B0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5817B7"/>
    <w:multiLevelType w:val="multilevel"/>
    <w:tmpl w:val="07A6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B17E6"/>
    <w:multiLevelType w:val="hybridMultilevel"/>
    <w:tmpl w:val="DF00B51A"/>
    <w:lvl w:ilvl="0" w:tplc="748CC126">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C27409"/>
    <w:multiLevelType w:val="multilevel"/>
    <w:tmpl w:val="782E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87183"/>
    <w:multiLevelType w:val="hybridMultilevel"/>
    <w:tmpl w:val="8C229BEA"/>
    <w:lvl w:ilvl="0" w:tplc="C514036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BB3D7D"/>
    <w:multiLevelType w:val="multilevel"/>
    <w:tmpl w:val="5D7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97F77"/>
    <w:multiLevelType w:val="hybridMultilevel"/>
    <w:tmpl w:val="7C3C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401BA0"/>
    <w:multiLevelType w:val="hybridMultilevel"/>
    <w:tmpl w:val="078844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0C3C04"/>
    <w:multiLevelType w:val="multilevel"/>
    <w:tmpl w:val="4BFA1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1C2959"/>
    <w:multiLevelType w:val="hybridMultilevel"/>
    <w:tmpl w:val="2BB8B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D813B84"/>
    <w:multiLevelType w:val="hybridMultilevel"/>
    <w:tmpl w:val="13ECB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8A4D83"/>
    <w:multiLevelType w:val="multilevel"/>
    <w:tmpl w:val="4A7CCC2C"/>
    <w:styleLink w:val="Default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0107DF"/>
    <w:multiLevelType w:val="multilevel"/>
    <w:tmpl w:val="6856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D3F53"/>
    <w:multiLevelType w:val="multilevel"/>
    <w:tmpl w:val="4A646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8709380">
    <w:abstractNumId w:val="14"/>
  </w:num>
  <w:num w:numId="2" w16cid:durableId="1908568501">
    <w:abstractNumId w:val="16"/>
  </w:num>
  <w:num w:numId="3" w16cid:durableId="519634946">
    <w:abstractNumId w:val="3"/>
  </w:num>
  <w:num w:numId="4" w16cid:durableId="1141851242">
    <w:abstractNumId w:val="20"/>
  </w:num>
  <w:num w:numId="5" w16cid:durableId="343290354">
    <w:abstractNumId w:val="17"/>
  </w:num>
  <w:num w:numId="6" w16cid:durableId="314069140">
    <w:abstractNumId w:val="11"/>
  </w:num>
  <w:num w:numId="7" w16cid:durableId="212083564">
    <w:abstractNumId w:val="7"/>
  </w:num>
  <w:num w:numId="8" w16cid:durableId="1054234215">
    <w:abstractNumId w:val="0"/>
  </w:num>
  <w:num w:numId="9" w16cid:durableId="1379276920">
    <w:abstractNumId w:val="23"/>
  </w:num>
  <w:num w:numId="10" w16cid:durableId="850217745">
    <w:abstractNumId w:val="2"/>
  </w:num>
  <w:num w:numId="11" w16cid:durableId="1604728326">
    <w:abstractNumId w:val="6"/>
  </w:num>
  <w:num w:numId="12" w16cid:durableId="57830564">
    <w:abstractNumId w:val="19"/>
  </w:num>
  <w:num w:numId="13" w16cid:durableId="622736192">
    <w:abstractNumId w:val="10"/>
  </w:num>
  <w:num w:numId="14" w16cid:durableId="425150150">
    <w:abstractNumId w:val="15"/>
  </w:num>
  <w:num w:numId="15" w16cid:durableId="1098863702">
    <w:abstractNumId w:val="13"/>
  </w:num>
  <w:num w:numId="16" w16cid:durableId="404423538">
    <w:abstractNumId w:val="18"/>
  </w:num>
  <w:num w:numId="17" w16cid:durableId="1411852564">
    <w:abstractNumId w:val="12"/>
  </w:num>
  <w:num w:numId="18" w16cid:durableId="2101372391">
    <w:abstractNumId w:val="1"/>
  </w:num>
  <w:num w:numId="19" w16cid:durableId="1993370343">
    <w:abstractNumId w:val="22"/>
  </w:num>
  <w:num w:numId="20" w16cid:durableId="343822927">
    <w:abstractNumId w:val="21"/>
  </w:num>
  <w:num w:numId="21" w16cid:durableId="1162888631">
    <w:abstractNumId w:val="5"/>
  </w:num>
  <w:num w:numId="22" w16cid:durableId="1560096435">
    <w:abstractNumId w:val="9"/>
  </w:num>
  <w:num w:numId="23" w16cid:durableId="1355956155">
    <w:abstractNumId w:val="4"/>
  </w:num>
  <w:num w:numId="24" w16cid:durableId="1872261764">
    <w:abstractNumId w:val="24"/>
  </w:num>
  <w:num w:numId="25" w16cid:durableId="1958675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01"/>
    <w:rsid w:val="00000530"/>
    <w:rsid w:val="0000689E"/>
    <w:rsid w:val="00007564"/>
    <w:rsid w:val="00007ECD"/>
    <w:rsid w:val="00010712"/>
    <w:rsid w:val="00014243"/>
    <w:rsid w:val="0001670E"/>
    <w:rsid w:val="0002709D"/>
    <w:rsid w:val="00031A25"/>
    <w:rsid w:val="00040227"/>
    <w:rsid w:val="00040519"/>
    <w:rsid w:val="00051C5F"/>
    <w:rsid w:val="00055B7C"/>
    <w:rsid w:val="00060BFE"/>
    <w:rsid w:val="000654A2"/>
    <w:rsid w:val="0006597B"/>
    <w:rsid w:val="00070CCB"/>
    <w:rsid w:val="00072BFA"/>
    <w:rsid w:val="000800DF"/>
    <w:rsid w:val="0008632B"/>
    <w:rsid w:val="000902A7"/>
    <w:rsid w:val="00092306"/>
    <w:rsid w:val="000A01DC"/>
    <w:rsid w:val="000A2D65"/>
    <w:rsid w:val="000B42A9"/>
    <w:rsid w:val="000B560C"/>
    <w:rsid w:val="000E53DF"/>
    <w:rsid w:val="000E7498"/>
    <w:rsid w:val="000F379E"/>
    <w:rsid w:val="001054BB"/>
    <w:rsid w:val="001225C2"/>
    <w:rsid w:val="001247D6"/>
    <w:rsid w:val="00131444"/>
    <w:rsid w:val="00137B79"/>
    <w:rsid w:val="001407D7"/>
    <w:rsid w:val="00141CD9"/>
    <w:rsid w:val="00144BB2"/>
    <w:rsid w:val="00146FB8"/>
    <w:rsid w:val="001560F2"/>
    <w:rsid w:val="0015752C"/>
    <w:rsid w:val="001633FA"/>
    <w:rsid w:val="0016439E"/>
    <w:rsid w:val="00165E91"/>
    <w:rsid w:val="0017224F"/>
    <w:rsid w:val="0017271A"/>
    <w:rsid w:val="001B6469"/>
    <w:rsid w:val="001B6E81"/>
    <w:rsid w:val="001C4FF7"/>
    <w:rsid w:val="001C5BD0"/>
    <w:rsid w:val="001C68D2"/>
    <w:rsid w:val="001D0277"/>
    <w:rsid w:val="001D3421"/>
    <w:rsid w:val="001D7A1F"/>
    <w:rsid w:val="001E4B04"/>
    <w:rsid w:val="001E572F"/>
    <w:rsid w:val="001E5A6E"/>
    <w:rsid w:val="001F0155"/>
    <w:rsid w:val="001F0E4A"/>
    <w:rsid w:val="00202EF0"/>
    <w:rsid w:val="00204397"/>
    <w:rsid w:val="00204F32"/>
    <w:rsid w:val="002111DD"/>
    <w:rsid w:val="00215DD2"/>
    <w:rsid w:val="0021787D"/>
    <w:rsid w:val="00226121"/>
    <w:rsid w:val="002376DE"/>
    <w:rsid w:val="00240125"/>
    <w:rsid w:val="00245385"/>
    <w:rsid w:val="00246AEA"/>
    <w:rsid w:val="00254EDC"/>
    <w:rsid w:val="002636E6"/>
    <w:rsid w:val="00276600"/>
    <w:rsid w:val="002823E5"/>
    <w:rsid w:val="00284FA7"/>
    <w:rsid w:val="00291B43"/>
    <w:rsid w:val="00291D16"/>
    <w:rsid w:val="002A050E"/>
    <w:rsid w:val="002B3D25"/>
    <w:rsid w:val="002B6E0B"/>
    <w:rsid w:val="002C1D2B"/>
    <w:rsid w:val="002C597A"/>
    <w:rsid w:val="002D0C4F"/>
    <w:rsid w:val="002D0CB1"/>
    <w:rsid w:val="002D5BA1"/>
    <w:rsid w:val="002D67EE"/>
    <w:rsid w:val="002E0502"/>
    <w:rsid w:val="002E1223"/>
    <w:rsid w:val="002E63CC"/>
    <w:rsid w:val="002E7B68"/>
    <w:rsid w:val="002F44AA"/>
    <w:rsid w:val="0030422A"/>
    <w:rsid w:val="00304DA9"/>
    <w:rsid w:val="0031345D"/>
    <w:rsid w:val="003152BE"/>
    <w:rsid w:val="00325D55"/>
    <w:rsid w:val="00326D87"/>
    <w:rsid w:val="00327E90"/>
    <w:rsid w:val="003341A6"/>
    <w:rsid w:val="00334218"/>
    <w:rsid w:val="00337FBC"/>
    <w:rsid w:val="003408C1"/>
    <w:rsid w:val="003438BD"/>
    <w:rsid w:val="00343947"/>
    <w:rsid w:val="0034716B"/>
    <w:rsid w:val="0035285C"/>
    <w:rsid w:val="00353509"/>
    <w:rsid w:val="00356D46"/>
    <w:rsid w:val="00360855"/>
    <w:rsid w:val="00366C40"/>
    <w:rsid w:val="0036769B"/>
    <w:rsid w:val="00375AEC"/>
    <w:rsid w:val="00385F6D"/>
    <w:rsid w:val="003872DA"/>
    <w:rsid w:val="003907D2"/>
    <w:rsid w:val="00394096"/>
    <w:rsid w:val="00394642"/>
    <w:rsid w:val="00395F68"/>
    <w:rsid w:val="003963BC"/>
    <w:rsid w:val="003A313E"/>
    <w:rsid w:val="003A6644"/>
    <w:rsid w:val="003C17AC"/>
    <w:rsid w:val="003C6734"/>
    <w:rsid w:val="003C6ED6"/>
    <w:rsid w:val="003D7FCD"/>
    <w:rsid w:val="00403311"/>
    <w:rsid w:val="00421364"/>
    <w:rsid w:val="004310D3"/>
    <w:rsid w:val="00431455"/>
    <w:rsid w:val="004342F8"/>
    <w:rsid w:val="004346E7"/>
    <w:rsid w:val="00441361"/>
    <w:rsid w:val="00444A89"/>
    <w:rsid w:val="0044670F"/>
    <w:rsid w:val="0045307C"/>
    <w:rsid w:val="004542DD"/>
    <w:rsid w:val="00474A86"/>
    <w:rsid w:val="004774B2"/>
    <w:rsid w:val="004777B5"/>
    <w:rsid w:val="004939F0"/>
    <w:rsid w:val="0049527E"/>
    <w:rsid w:val="004B3AE9"/>
    <w:rsid w:val="004B44B4"/>
    <w:rsid w:val="004B4D73"/>
    <w:rsid w:val="004C14EA"/>
    <w:rsid w:val="004D5431"/>
    <w:rsid w:val="004E56E2"/>
    <w:rsid w:val="004F08A4"/>
    <w:rsid w:val="004F1D1F"/>
    <w:rsid w:val="005016E0"/>
    <w:rsid w:val="00502744"/>
    <w:rsid w:val="005040B9"/>
    <w:rsid w:val="0050772B"/>
    <w:rsid w:val="00511BC1"/>
    <w:rsid w:val="005174B9"/>
    <w:rsid w:val="00517F4A"/>
    <w:rsid w:val="00530213"/>
    <w:rsid w:val="00533A17"/>
    <w:rsid w:val="00536D3C"/>
    <w:rsid w:val="00541B57"/>
    <w:rsid w:val="005515CD"/>
    <w:rsid w:val="00552262"/>
    <w:rsid w:val="00555CFE"/>
    <w:rsid w:val="00565B83"/>
    <w:rsid w:val="0056639A"/>
    <w:rsid w:val="0057114C"/>
    <w:rsid w:val="005774CC"/>
    <w:rsid w:val="0058388F"/>
    <w:rsid w:val="00583CF9"/>
    <w:rsid w:val="005907EE"/>
    <w:rsid w:val="00595B77"/>
    <w:rsid w:val="005964AA"/>
    <w:rsid w:val="005A43E1"/>
    <w:rsid w:val="005B1C4D"/>
    <w:rsid w:val="005D065B"/>
    <w:rsid w:val="005D5413"/>
    <w:rsid w:val="005E31B5"/>
    <w:rsid w:val="005E3ACB"/>
    <w:rsid w:val="005F1EA7"/>
    <w:rsid w:val="005F79A2"/>
    <w:rsid w:val="00615D70"/>
    <w:rsid w:val="006177F7"/>
    <w:rsid w:val="00624F89"/>
    <w:rsid w:val="006320F6"/>
    <w:rsid w:val="00632D44"/>
    <w:rsid w:val="0063546F"/>
    <w:rsid w:val="006354E1"/>
    <w:rsid w:val="00635C32"/>
    <w:rsid w:val="00642A08"/>
    <w:rsid w:val="00644CDF"/>
    <w:rsid w:val="0065552E"/>
    <w:rsid w:val="00682ECD"/>
    <w:rsid w:val="006862FD"/>
    <w:rsid w:val="0069044B"/>
    <w:rsid w:val="00694D08"/>
    <w:rsid w:val="0069789C"/>
    <w:rsid w:val="006A1524"/>
    <w:rsid w:val="006A3577"/>
    <w:rsid w:val="006A472C"/>
    <w:rsid w:val="006B32B2"/>
    <w:rsid w:val="006C1881"/>
    <w:rsid w:val="006C28EB"/>
    <w:rsid w:val="006C4D58"/>
    <w:rsid w:val="006C796F"/>
    <w:rsid w:val="006D1C8F"/>
    <w:rsid w:val="006D6756"/>
    <w:rsid w:val="006D6D8F"/>
    <w:rsid w:val="006E04A8"/>
    <w:rsid w:val="006E7546"/>
    <w:rsid w:val="006F18FF"/>
    <w:rsid w:val="006F35BF"/>
    <w:rsid w:val="006F3A5D"/>
    <w:rsid w:val="00722DC4"/>
    <w:rsid w:val="00727CCC"/>
    <w:rsid w:val="00733230"/>
    <w:rsid w:val="00733620"/>
    <w:rsid w:val="0073462B"/>
    <w:rsid w:val="00736BDA"/>
    <w:rsid w:val="007415B7"/>
    <w:rsid w:val="0074166F"/>
    <w:rsid w:val="00752DF2"/>
    <w:rsid w:val="00760AC4"/>
    <w:rsid w:val="00760E48"/>
    <w:rsid w:val="00762BA3"/>
    <w:rsid w:val="007632FA"/>
    <w:rsid w:val="0076414C"/>
    <w:rsid w:val="00773C8A"/>
    <w:rsid w:val="00790C89"/>
    <w:rsid w:val="00792F30"/>
    <w:rsid w:val="00795A36"/>
    <w:rsid w:val="007A043B"/>
    <w:rsid w:val="007A7A8D"/>
    <w:rsid w:val="007C5812"/>
    <w:rsid w:val="007D1862"/>
    <w:rsid w:val="007D39E2"/>
    <w:rsid w:val="007D59D1"/>
    <w:rsid w:val="007E1582"/>
    <w:rsid w:val="007E4A24"/>
    <w:rsid w:val="007E651F"/>
    <w:rsid w:val="007F45D4"/>
    <w:rsid w:val="00801BAA"/>
    <w:rsid w:val="00803D33"/>
    <w:rsid w:val="00811A9B"/>
    <w:rsid w:val="008215A5"/>
    <w:rsid w:val="00822B2E"/>
    <w:rsid w:val="00823A6C"/>
    <w:rsid w:val="00826013"/>
    <w:rsid w:val="00826C10"/>
    <w:rsid w:val="00835C2A"/>
    <w:rsid w:val="008364AA"/>
    <w:rsid w:val="00837670"/>
    <w:rsid w:val="00840002"/>
    <w:rsid w:val="00842EB2"/>
    <w:rsid w:val="0084465D"/>
    <w:rsid w:val="00844CC8"/>
    <w:rsid w:val="00852992"/>
    <w:rsid w:val="00857D50"/>
    <w:rsid w:val="008662B9"/>
    <w:rsid w:val="00867647"/>
    <w:rsid w:val="00873610"/>
    <w:rsid w:val="008751A3"/>
    <w:rsid w:val="00882C72"/>
    <w:rsid w:val="0088403A"/>
    <w:rsid w:val="008859A3"/>
    <w:rsid w:val="00885EBC"/>
    <w:rsid w:val="00886DFF"/>
    <w:rsid w:val="0089166C"/>
    <w:rsid w:val="00892DA8"/>
    <w:rsid w:val="00895625"/>
    <w:rsid w:val="00897215"/>
    <w:rsid w:val="008A0DCD"/>
    <w:rsid w:val="008B3062"/>
    <w:rsid w:val="008B482F"/>
    <w:rsid w:val="008B5156"/>
    <w:rsid w:val="008B70E8"/>
    <w:rsid w:val="008C5F59"/>
    <w:rsid w:val="008D122B"/>
    <w:rsid w:val="008D3393"/>
    <w:rsid w:val="008D6A22"/>
    <w:rsid w:val="008E2564"/>
    <w:rsid w:val="008E7571"/>
    <w:rsid w:val="008F1FA0"/>
    <w:rsid w:val="0090248D"/>
    <w:rsid w:val="00906503"/>
    <w:rsid w:val="0090676F"/>
    <w:rsid w:val="00912733"/>
    <w:rsid w:val="009232AD"/>
    <w:rsid w:val="00924F7B"/>
    <w:rsid w:val="00926C49"/>
    <w:rsid w:val="00927587"/>
    <w:rsid w:val="00941DD9"/>
    <w:rsid w:val="00943E6A"/>
    <w:rsid w:val="009609E6"/>
    <w:rsid w:val="0096369C"/>
    <w:rsid w:val="00966DBB"/>
    <w:rsid w:val="00970B07"/>
    <w:rsid w:val="00981288"/>
    <w:rsid w:val="0098670C"/>
    <w:rsid w:val="00991BDF"/>
    <w:rsid w:val="00993966"/>
    <w:rsid w:val="00997AF0"/>
    <w:rsid w:val="009A10AB"/>
    <w:rsid w:val="009A1DEA"/>
    <w:rsid w:val="009A5097"/>
    <w:rsid w:val="009B2CE8"/>
    <w:rsid w:val="009C1E6D"/>
    <w:rsid w:val="009C5A9D"/>
    <w:rsid w:val="009D0330"/>
    <w:rsid w:val="009D1588"/>
    <w:rsid w:val="009D320B"/>
    <w:rsid w:val="009D49D6"/>
    <w:rsid w:val="009D7086"/>
    <w:rsid w:val="009E3425"/>
    <w:rsid w:val="009F5C95"/>
    <w:rsid w:val="009F6785"/>
    <w:rsid w:val="009F7CA0"/>
    <w:rsid w:val="00A21B3A"/>
    <w:rsid w:val="00A23E46"/>
    <w:rsid w:val="00A24607"/>
    <w:rsid w:val="00A2596E"/>
    <w:rsid w:val="00A272E9"/>
    <w:rsid w:val="00A27A57"/>
    <w:rsid w:val="00A33CBA"/>
    <w:rsid w:val="00A46CEC"/>
    <w:rsid w:val="00A6312E"/>
    <w:rsid w:val="00A71E33"/>
    <w:rsid w:val="00A74327"/>
    <w:rsid w:val="00A75829"/>
    <w:rsid w:val="00A811FC"/>
    <w:rsid w:val="00A85272"/>
    <w:rsid w:val="00A85DC8"/>
    <w:rsid w:val="00A90942"/>
    <w:rsid w:val="00A9544B"/>
    <w:rsid w:val="00A96121"/>
    <w:rsid w:val="00AA280B"/>
    <w:rsid w:val="00AA35E7"/>
    <w:rsid w:val="00AC4655"/>
    <w:rsid w:val="00AC7627"/>
    <w:rsid w:val="00AD271D"/>
    <w:rsid w:val="00AE0E86"/>
    <w:rsid w:val="00AE214C"/>
    <w:rsid w:val="00AE3FFE"/>
    <w:rsid w:val="00AE5C8B"/>
    <w:rsid w:val="00AF2EDA"/>
    <w:rsid w:val="00AF52BB"/>
    <w:rsid w:val="00AF5881"/>
    <w:rsid w:val="00B0174B"/>
    <w:rsid w:val="00B16FBE"/>
    <w:rsid w:val="00B2171D"/>
    <w:rsid w:val="00B241A6"/>
    <w:rsid w:val="00B3298F"/>
    <w:rsid w:val="00B35B45"/>
    <w:rsid w:val="00B47E36"/>
    <w:rsid w:val="00B50CF5"/>
    <w:rsid w:val="00B544B3"/>
    <w:rsid w:val="00B5500F"/>
    <w:rsid w:val="00B70319"/>
    <w:rsid w:val="00B741E8"/>
    <w:rsid w:val="00B81065"/>
    <w:rsid w:val="00B859EF"/>
    <w:rsid w:val="00B86988"/>
    <w:rsid w:val="00B96DA6"/>
    <w:rsid w:val="00BB2708"/>
    <w:rsid w:val="00BB2B5C"/>
    <w:rsid w:val="00BB53CB"/>
    <w:rsid w:val="00BD0C45"/>
    <w:rsid w:val="00BE6274"/>
    <w:rsid w:val="00BE784B"/>
    <w:rsid w:val="00BF7A9A"/>
    <w:rsid w:val="00C03C9E"/>
    <w:rsid w:val="00C04626"/>
    <w:rsid w:val="00C13064"/>
    <w:rsid w:val="00C131D6"/>
    <w:rsid w:val="00C2574F"/>
    <w:rsid w:val="00C4238D"/>
    <w:rsid w:val="00C43414"/>
    <w:rsid w:val="00C445CB"/>
    <w:rsid w:val="00C47D15"/>
    <w:rsid w:val="00C71692"/>
    <w:rsid w:val="00C7350C"/>
    <w:rsid w:val="00C8681D"/>
    <w:rsid w:val="00C8738F"/>
    <w:rsid w:val="00C93C8F"/>
    <w:rsid w:val="00C9487B"/>
    <w:rsid w:val="00C95FB9"/>
    <w:rsid w:val="00C970AF"/>
    <w:rsid w:val="00CA1143"/>
    <w:rsid w:val="00CA631F"/>
    <w:rsid w:val="00CA6B5E"/>
    <w:rsid w:val="00CA74B8"/>
    <w:rsid w:val="00CB1D68"/>
    <w:rsid w:val="00CB459F"/>
    <w:rsid w:val="00CC012F"/>
    <w:rsid w:val="00CC1350"/>
    <w:rsid w:val="00CC1B33"/>
    <w:rsid w:val="00CC359B"/>
    <w:rsid w:val="00CC6989"/>
    <w:rsid w:val="00CC6DDE"/>
    <w:rsid w:val="00CD4F83"/>
    <w:rsid w:val="00CD6AA3"/>
    <w:rsid w:val="00CE5A0C"/>
    <w:rsid w:val="00CE7358"/>
    <w:rsid w:val="00CF064F"/>
    <w:rsid w:val="00D02DAE"/>
    <w:rsid w:val="00D03094"/>
    <w:rsid w:val="00D07281"/>
    <w:rsid w:val="00D114B4"/>
    <w:rsid w:val="00D24891"/>
    <w:rsid w:val="00D274A8"/>
    <w:rsid w:val="00D308FC"/>
    <w:rsid w:val="00D32ABD"/>
    <w:rsid w:val="00D33E3F"/>
    <w:rsid w:val="00D34374"/>
    <w:rsid w:val="00D3484E"/>
    <w:rsid w:val="00D52585"/>
    <w:rsid w:val="00D54D35"/>
    <w:rsid w:val="00D55EB9"/>
    <w:rsid w:val="00D735A4"/>
    <w:rsid w:val="00D770CE"/>
    <w:rsid w:val="00D77846"/>
    <w:rsid w:val="00D906C1"/>
    <w:rsid w:val="00D92E5E"/>
    <w:rsid w:val="00D930AD"/>
    <w:rsid w:val="00DA3801"/>
    <w:rsid w:val="00DB0191"/>
    <w:rsid w:val="00DB5B01"/>
    <w:rsid w:val="00DD1367"/>
    <w:rsid w:val="00DD508E"/>
    <w:rsid w:val="00DD6879"/>
    <w:rsid w:val="00DD6A9D"/>
    <w:rsid w:val="00DD796B"/>
    <w:rsid w:val="00DD7B83"/>
    <w:rsid w:val="00DE0981"/>
    <w:rsid w:val="00DF1BF3"/>
    <w:rsid w:val="00DF44AB"/>
    <w:rsid w:val="00DF7DA7"/>
    <w:rsid w:val="00E00892"/>
    <w:rsid w:val="00E02572"/>
    <w:rsid w:val="00E02D60"/>
    <w:rsid w:val="00E200EB"/>
    <w:rsid w:val="00E25AFF"/>
    <w:rsid w:val="00E32998"/>
    <w:rsid w:val="00E34B1E"/>
    <w:rsid w:val="00E42450"/>
    <w:rsid w:val="00E6049F"/>
    <w:rsid w:val="00E6095A"/>
    <w:rsid w:val="00E63B55"/>
    <w:rsid w:val="00E6451A"/>
    <w:rsid w:val="00E71F4D"/>
    <w:rsid w:val="00E74AAB"/>
    <w:rsid w:val="00E91130"/>
    <w:rsid w:val="00E96E07"/>
    <w:rsid w:val="00E97660"/>
    <w:rsid w:val="00EA0465"/>
    <w:rsid w:val="00EA17D9"/>
    <w:rsid w:val="00EA4A7D"/>
    <w:rsid w:val="00EA576D"/>
    <w:rsid w:val="00EA75B9"/>
    <w:rsid w:val="00EB506B"/>
    <w:rsid w:val="00EB72EE"/>
    <w:rsid w:val="00EC28F0"/>
    <w:rsid w:val="00EE228F"/>
    <w:rsid w:val="00F004E1"/>
    <w:rsid w:val="00F1144D"/>
    <w:rsid w:val="00F12340"/>
    <w:rsid w:val="00F1528C"/>
    <w:rsid w:val="00F16A53"/>
    <w:rsid w:val="00F172B3"/>
    <w:rsid w:val="00F2104F"/>
    <w:rsid w:val="00F27ECD"/>
    <w:rsid w:val="00F30F72"/>
    <w:rsid w:val="00F32714"/>
    <w:rsid w:val="00F34520"/>
    <w:rsid w:val="00F35101"/>
    <w:rsid w:val="00F409D1"/>
    <w:rsid w:val="00F543E2"/>
    <w:rsid w:val="00F567FB"/>
    <w:rsid w:val="00F6492B"/>
    <w:rsid w:val="00F67835"/>
    <w:rsid w:val="00F7516E"/>
    <w:rsid w:val="00F757D1"/>
    <w:rsid w:val="00F7590E"/>
    <w:rsid w:val="00F77EB8"/>
    <w:rsid w:val="00F81C2D"/>
    <w:rsid w:val="00F93459"/>
    <w:rsid w:val="00FA511E"/>
    <w:rsid w:val="00FA747A"/>
    <w:rsid w:val="00FB0378"/>
    <w:rsid w:val="00FB59FC"/>
    <w:rsid w:val="00FC2C50"/>
    <w:rsid w:val="00FE3B29"/>
    <w:rsid w:val="00FE41CD"/>
    <w:rsid w:val="00FE4270"/>
    <w:rsid w:val="00FE52C2"/>
    <w:rsid w:val="00FF6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48AD"/>
  <w15:chartTrackingRefBased/>
  <w15:docId w15:val="{99F493D8-53CD-42B2-B282-DA4CA49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B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811FC"/>
    <w:pPr>
      <w:spacing w:before="100" w:beforeAutospacing="1" w:after="100" w:afterAutospacing="1" w:line="240" w:lineRule="auto"/>
      <w:jc w:val="center"/>
      <w:outlineLvl w:val="1"/>
    </w:pPr>
    <w:rPr>
      <w:rFonts w:ascii="Times New Roman" w:eastAsia="Times New Roman" w:hAnsi="Times New Roman" w:cs="Times New Roman"/>
      <w:b/>
      <w:bCs/>
      <w:kern w:val="0"/>
      <w:sz w:val="28"/>
      <w:szCs w:val="28"/>
      <w:lang w:eastAsia="en-AU"/>
      <w14:ligatures w14:val="none"/>
    </w:rPr>
  </w:style>
  <w:style w:type="paragraph" w:styleId="Heading3">
    <w:name w:val="heading 3"/>
    <w:basedOn w:val="Normal"/>
    <w:link w:val="Heading3Char"/>
    <w:uiPriority w:val="9"/>
    <w:qFormat/>
    <w:rsid w:val="002376DE"/>
    <w:pPr>
      <w:spacing w:after="120" w:line="240" w:lineRule="auto"/>
      <w:outlineLvl w:val="2"/>
    </w:pPr>
    <w:rPr>
      <w:rFonts w:ascii="Times New Roman" w:eastAsia="Times New Roman" w:hAnsi="Times New Roman" w:cs="Times New Roman"/>
      <w:kern w:val="0"/>
      <w:sz w:val="24"/>
      <w:szCs w:val="24"/>
      <w:u w:val="single"/>
      <w:lang w:eastAsia="en-AU"/>
      <w14:ligatures w14:val="none"/>
    </w:rPr>
  </w:style>
  <w:style w:type="paragraph" w:styleId="Heading4">
    <w:name w:val="heading 4"/>
    <w:basedOn w:val="Normal"/>
    <w:next w:val="Normal"/>
    <w:link w:val="Heading4Char"/>
    <w:uiPriority w:val="9"/>
    <w:unhideWhenUsed/>
    <w:qFormat/>
    <w:rsid w:val="002111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C14E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C14E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1FC"/>
    <w:rPr>
      <w:rFonts w:ascii="Times New Roman" w:eastAsia="Times New Roman" w:hAnsi="Times New Roman" w:cs="Times New Roman"/>
      <w:b/>
      <w:bCs/>
      <w:kern w:val="0"/>
      <w:sz w:val="28"/>
      <w:szCs w:val="28"/>
      <w:lang w:eastAsia="en-AU"/>
      <w14:ligatures w14:val="none"/>
    </w:rPr>
  </w:style>
  <w:style w:type="character" w:customStyle="1" w:styleId="Heading3Char">
    <w:name w:val="Heading 3 Char"/>
    <w:basedOn w:val="DefaultParagraphFont"/>
    <w:link w:val="Heading3"/>
    <w:uiPriority w:val="9"/>
    <w:rsid w:val="002376DE"/>
    <w:rPr>
      <w:rFonts w:ascii="Times New Roman" w:eastAsia="Times New Roman" w:hAnsi="Times New Roman" w:cs="Times New Roman"/>
      <w:kern w:val="0"/>
      <w:sz w:val="24"/>
      <w:szCs w:val="24"/>
      <w:u w:val="single"/>
      <w:lang w:eastAsia="en-AU"/>
      <w14:ligatures w14:val="none"/>
    </w:rPr>
  </w:style>
  <w:style w:type="paragraph" w:styleId="NormalWeb">
    <w:name w:val="Normal (Web)"/>
    <w:basedOn w:val="Normal"/>
    <w:uiPriority w:val="99"/>
    <w:unhideWhenUsed/>
    <w:rsid w:val="00DB5B0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DB5B01"/>
    <w:rPr>
      <w:color w:val="0000FF"/>
      <w:u w:val="single"/>
    </w:rPr>
  </w:style>
  <w:style w:type="character" w:customStyle="1" w:styleId="Heading1Char">
    <w:name w:val="Heading 1 Char"/>
    <w:basedOn w:val="DefaultParagraphFont"/>
    <w:link w:val="Heading1"/>
    <w:uiPriority w:val="1"/>
    <w:rsid w:val="00DB5B0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2D0CB1"/>
    <w:pPr>
      <w:spacing w:after="0" w:line="240" w:lineRule="auto"/>
      <w:ind w:left="459" w:right="851"/>
      <w:jc w:val="both"/>
    </w:pPr>
    <w:rPr>
      <w:rFonts w:ascii="Times New Roman" w:hAnsi="Times New Roman" w:cs="Times New Roman"/>
      <w:i/>
      <w:iCs/>
      <w:color w:val="ED7D31" w:themeColor="accent2"/>
      <w:kern w:val="28"/>
      <w:sz w:val="20"/>
      <w:szCs w:val="20"/>
      <w:lang w:val="en-US"/>
      <w14:ligatures w14:val="none"/>
    </w:rPr>
  </w:style>
  <w:style w:type="character" w:customStyle="1" w:styleId="QuoteChar">
    <w:name w:val="Quote Char"/>
    <w:basedOn w:val="DefaultParagraphFont"/>
    <w:link w:val="Quote"/>
    <w:uiPriority w:val="29"/>
    <w:rsid w:val="002D0CB1"/>
    <w:rPr>
      <w:rFonts w:ascii="Times New Roman" w:hAnsi="Times New Roman" w:cs="Times New Roman"/>
      <w:i/>
      <w:iCs/>
      <w:color w:val="ED7D31" w:themeColor="accent2"/>
      <w:kern w:val="28"/>
      <w:sz w:val="20"/>
      <w:szCs w:val="20"/>
      <w:lang w:val="en-US"/>
      <w14:ligatures w14:val="none"/>
    </w:rPr>
  </w:style>
  <w:style w:type="paragraph" w:customStyle="1" w:styleId="Bullets">
    <w:name w:val="Bullets"/>
    <w:basedOn w:val="Normal"/>
    <w:uiPriority w:val="7"/>
    <w:qFormat/>
    <w:rsid w:val="006D6756"/>
    <w:pPr>
      <w:numPr>
        <w:numId w:val="3"/>
      </w:numPr>
      <w:spacing w:before="120" w:after="0" w:line="240" w:lineRule="auto"/>
    </w:pPr>
    <w:rPr>
      <w:kern w:val="0"/>
      <w:lang w:val="en-US"/>
      <w14:ligatures w14:val="none"/>
    </w:rPr>
  </w:style>
  <w:style w:type="paragraph" w:styleId="TOCHeading">
    <w:name w:val="TOC Heading"/>
    <w:basedOn w:val="Heading1"/>
    <w:next w:val="Normal"/>
    <w:uiPriority w:val="39"/>
    <w:unhideWhenUsed/>
    <w:qFormat/>
    <w:rsid w:val="006D6756"/>
    <w:pPr>
      <w:outlineLvl w:val="9"/>
    </w:pPr>
    <w:rPr>
      <w:kern w:val="0"/>
      <w:lang w:val="en-US"/>
      <w14:ligatures w14:val="none"/>
    </w:rPr>
  </w:style>
  <w:style w:type="paragraph" w:styleId="TOC3">
    <w:name w:val="toc 3"/>
    <w:basedOn w:val="Normal"/>
    <w:next w:val="Normal"/>
    <w:autoRedefine/>
    <w:uiPriority w:val="39"/>
    <w:rsid w:val="006D6756"/>
    <w:pPr>
      <w:spacing w:after="100" w:line="240" w:lineRule="auto"/>
      <w:ind w:left="440"/>
    </w:pPr>
    <w:rPr>
      <w:kern w:val="0"/>
      <w:lang w:val="en-US"/>
      <w14:ligatures w14:val="none"/>
    </w:rPr>
  </w:style>
  <w:style w:type="paragraph" w:styleId="TOC2">
    <w:name w:val="toc 2"/>
    <w:basedOn w:val="Normal"/>
    <w:next w:val="Normal"/>
    <w:autoRedefine/>
    <w:uiPriority w:val="39"/>
    <w:rsid w:val="006D6756"/>
    <w:pPr>
      <w:spacing w:after="100" w:line="240" w:lineRule="auto"/>
      <w:ind w:left="220"/>
    </w:pPr>
    <w:rPr>
      <w:kern w:val="0"/>
      <w:lang w:val="en-US"/>
      <w14:ligatures w14:val="none"/>
    </w:rPr>
  </w:style>
  <w:style w:type="paragraph" w:styleId="TOC1">
    <w:name w:val="toc 1"/>
    <w:basedOn w:val="Normal"/>
    <w:next w:val="Normal"/>
    <w:autoRedefine/>
    <w:uiPriority w:val="39"/>
    <w:rsid w:val="006D6756"/>
    <w:pPr>
      <w:spacing w:after="100" w:line="240" w:lineRule="auto"/>
    </w:pPr>
    <w:rPr>
      <w:kern w:val="0"/>
      <w:lang w:val="en-US"/>
      <w14:ligatures w14:val="none"/>
    </w:rPr>
  </w:style>
  <w:style w:type="paragraph" w:styleId="ListParagraph">
    <w:name w:val="List Paragraph"/>
    <w:aliases w:val="List Paragraph1,List Paragraph11,L,CV text,Table text,F5 List Paragraph,Dot pt,Medium Grid 1 - Accent 21,Numbered Paragraph,List Paragraph111,List Paragraph2,Bulleted Para,NFP GP Bulleted List,FooterText,numbered,列出段落,列出段落1,Bullet 1,Dot "/>
    <w:basedOn w:val="Normal"/>
    <w:link w:val="ListParagraphChar"/>
    <w:uiPriority w:val="2"/>
    <w:qFormat/>
    <w:rsid w:val="0073462B"/>
    <w:pPr>
      <w:spacing w:after="0" w:line="240" w:lineRule="auto"/>
      <w:ind w:left="720"/>
      <w:contextualSpacing/>
    </w:pPr>
    <w:rPr>
      <w:rFonts w:ascii="Calibri" w:hAnsi="Calibri" w:cs="Calibri"/>
      <w:kern w:val="0"/>
      <w14:ligatures w14:val="none"/>
    </w:rPr>
  </w:style>
  <w:style w:type="character" w:customStyle="1" w:styleId="ListParagraphChar">
    <w:name w:val="List Paragraph Char"/>
    <w:aliases w:val="List Paragraph1 Char,List Paragraph11 Char,L Char,CV text Char,Table text Char,F5 List Paragraph Char,Dot pt Char,Medium Grid 1 - Accent 21 Char,Numbered Paragraph Char,List Paragraph111 Char,List Paragraph2 Char,Bulleted Para Char"/>
    <w:basedOn w:val="DefaultParagraphFont"/>
    <w:link w:val="ListParagraph"/>
    <w:uiPriority w:val="34"/>
    <w:locked/>
    <w:rsid w:val="0073462B"/>
    <w:rPr>
      <w:rFonts w:ascii="Calibri" w:hAnsi="Calibri" w:cs="Calibri"/>
      <w:kern w:val="0"/>
      <w14:ligatures w14:val="none"/>
    </w:rPr>
  </w:style>
  <w:style w:type="table" w:styleId="GridTable1Light-Accent5">
    <w:name w:val="Grid Table 1 Light Accent 5"/>
    <w:basedOn w:val="TableNormal"/>
    <w:uiPriority w:val="46"/>
    <w:rsid w:val="0073462B"/>
    <w:pPr>
      <w:spacing w:after="0" w:line="240" w:lineRule="auto"/>
    </w:pPr>
    <w:rPr>
      <w:kern w:val="0"/>
      <w:lang w:val="en-US"/>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34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62B"/>
  </w:style>
  <w:style w:type="paragraph" w:styleId="Footer">
    <w:name w:val="footer"/>
    <w:basedOn w:val="Normal"/>
    <w:link w:val="FooterChar"/>
    <w:uiPriority w:val="99"/>
    <w:unhideWhenUsed/>
    <w:rsid w:val="00734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62B"/>
  </w:style>
  <w:style w:type="character" w:customStyle="1" w:styleId="Heading4Char">
    <w:name w:val="Heading 4 Char"/>
    <w:basedOn w:val="DefaultParagraphFont"/>
    <w:link w:val="Heading4"/>
    <w:uiPriority w:val="9"/>
    <w:rsid w:val="002111DD"/>
    <w:rPr>
      <w:rFonts w:asciiTheme="majorHAnsi" w:eastAsiaTheme="majorEastAsia" w:hAnsiTheme="majorHAnsi" w:cstheme="majorBidi"/>
      <w:i/>
      <w:iCs/>
      <w:color w:val="2F5496" w:themeColor="accent1" w:themeShade="BF"/>
    </w:rPr>
  </w:style>
  <w:style w:type="paragraph" w:customStyle="1" w:styleId="Default">
    <w:name w:val="Default"/>
    <w:rsid w:val="00511BC1"/>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graphparagraphqitb">
    <w:name w:val="paragraph_paragraph___qitb"/>
    <w:basedOn w:val="Normal"/>
    <w:rsid w:val="00511B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EA0465"/>
    <w:rPr>
      <w:b/>
      <w:bCs/>
    </w:rPr>
  </w:style>
  <w:style w:type="character" w:styleId="Emphasis">
    <w:name w:val="Emphasis"/>
    <w:basedOn w:val="DefaultParagraphFont"/>
    <w:uiPriority w:val="20"/>
    <w:qFormat/>
    <w:rsid w:val="00EA0465"/>
    <w:rPr>
      <w:i/>
      <w:iCs/>
    </w:rPr>
  </w:style>
  <w:style w:type="character" w:styleId="UnresolvedMention">
    <w:name w:val="Unresolved Mention"/>
    <w:basedOn w:val="DefaultParagraphFont"/>
    <w:uiPriority w:val="99"/>
    <w:semiHidden/>
    <w:unhideWhenUsed/>
    <w:rsid w:val="00474A86"/>
    <w:rPr>
      <w:color w:val="605E5C"/>
      <w:shd w:val="clear" w:color="auto" w:fill="E1DFDD"/>
    </w:rPr>
  </w:style>
  <w:style w:type="character" w:customStyle="1" w:styleId="Heading5Char">
    <w:name w:val="Heading 5 Char"/>
    <w:basedOn w:val="DefaultParagraphFont"/>
    <w:link w:val="Heading5"/>
    <w:uiPriority w:val="9"/>
    <w:rsid w:val="004C14E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C14EA"/>
    <w:rPr>
      <w:rFonts w:asciiTheme="majorHAnsi" w:eastAsiaTheme="majorEastAsia" w:hAnsiTheme="majorHAnsi" w:cstheme="majorBidi"/>
      <w:color w:val="1F3763" w:themeColor="accent1" w:themeShade="7F"/>
    </w:rPr>
  </w:style>
  <w:style w:type="table" w:styleId="GridTable3-Accent1">
    <w:name w:val="Grid Table 3 Accent 1"/>
    <w:basedOn w:val="TableNormal"/>
    <w:uiPriority w:val="48"/>
    <w:rsid w:val="00D52585"/>
    <w:pPr>
      <w:spacing w:after="0" w:line="240" w:lineRule="auto"/>
    </w:pPr>
    <w:rPr>
      <w:kern w:val="0"/>
      <w:lang w:val="en-U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muibuttonlabel-0-1-294">
    <w:name w:val="muibuttonlabel-0-1-294"/>
    <w:basedOn w:val="DefaultParagraphFont"/>
    <w:rsid w:val="00803D33"/>
  </w:style>
  <w:style w:type="character" w:customStyle="1" w:styleId="Caption1">
    <w:name w:val="Caption1"/>
    <w:basedOn w:val="DefaultParagraphFont"/>
    <w:rsid w:val="00803D33"/>
  </w:style>
  <w:style w:type="character" w:customStyle="1" w:styleId="attribution">
    <w:name w:val="attribution"/>
    <w:basedOn w:val="DefaultParagraphFont"/>
    <w:rsid w:val="00803D33"/>
  </w:style>
  <w:style w:type="character" w:styleId="FollowedHyperlink">
    <w:name w:val="FollowedHyperlink"/>
    <w:basedOn w:val="DefaultParagraphFont"/>
    <w:uiPriority w:val="99"/>
    <w:semiHidden/>
    <w:unhideWhenUsed/>
    <w:rsid w:val="007A043B"/>
    <w:rPr>
      <w:color w:val="954F72" w:themeColor="followedHyperlink"/>
      <w:u w:val="single"/>
    </w:rPr>
  </w:style>
  <w:style w:type="character" w:styleId="FootnoteReference">
    <w:name w:val="footnote reference"/>
    <w:aliases w:val="(NECG) Footnote Reference,footnote ref,Footnotes refss,Footnote"/>
    <w:basedOn w:val="DefaultParagraphFont"/>
    <w:unhideWhenUsed/>
    <w:qFormat/>
    <w:rsid w:val="00EC28F0"/>
    <w:rPr>
      <w:vertAlign w:val="superscript"/>
    </w:rPr>
  </w:style>
  <w:style w:type="paragraph" w:customStyle="1" w:styleId="Bullet2">
    <w:name w:val="Bullet 2"/>
    <w:basedOn w:val="Normal"/>
    <w:uiPriority w:val="2"/>
    <w:qFormat/>
    <w:rsid w:val="007632FA"/>
    <w:pPr>
      <w:spacing w:before="120" w:after="60" w:line="264" w:lineRule="auto"/>
      <w:ind w:left="568" w:hanging="284"/>
    </w:pPr>
    <w:rPr>
      <w:color w:val="000000" w:themeColor="text1"/>
      <w:kern w:val="0"/>
      <w14:ligatures w14:val="none"/>
    </w:rPr>
  </w:style>
  <w:style w:type="paragraph" w:customStyle="1" w:styleId="Bullet3">
    <w:name w:val="Bullet 3"/>
    <w:basedOn w:val="Normal"/>
    <w:uiPriority w:val="2"/>
    <w:qFormat/>
    <w:rsid w:val="007632FA"/>
    <w:pPr>
      <w:spacing w:before="120" w:after="60" w:line="264" w:lineRule="auto"/>
      <w:ind w:left="852" w:hanging="284"/>
    </w:pPr>
    <w:rPr>
      <w:color w:val="000000" w:themeColor="text1"/>
      <w:kern w:val="0"/>
      <w14:ligatures w14:val="none"/>
    </w:rPr>
  </w:style>
  <w:style w:type="numbering" w:customStyle="1" w:styleId="DefaultBullets">
    <w:name w:val="Default Bullets"/>
    <w:uiPriority w:val="99"/>
    <w:rsid w:val="007632FA"/>
    <w:pPr>
      <w:numPr>
        <w:numId w:val="19"/>
      </w:numPr>
    </w:pPr>
  </w:style>
  <w:style w:type="character" w:customStyle="1" w:styleId="cf01">
    <w:name w:val="cf01"/>
    <w:basedOn w:val="DefaultParagraphFont"/>
    <w:rsid w:val="00752DF2"/>
    <w:rPr>
      <w:rFonts w:ascii="Segoe UI" w:hAnsi="Segoe UI" w:cs="Segoe UI" w:hint="default"/>
      <w:sz w:val="18"/>
      <w:szCs w:val="18"/>
    </w:rPr>
  </w:style>
  <w:style w:type="paragraph" w:customStyle="1" w:styleId="pf0">
    <w:name w:val="pf0"/>
    <w:basedOn w:val="Normal"/>
    <w:rsid w:val="00752DF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fn">
    <w:name w:val="fn"/>
    <w:basedOn w:val="DefaultParagraphFont"/>
    <w:rsid w:val="006C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8797">
      <w:bodyDiv w:val="1"/>
      <w:marLeft w:val="0"/>
      <w:marRight w:val="0"/>
      <w:marTop w:val="0"/>
      <w:marBottom w:val="0"/>
      <w:divBdr>
        <w:top w:val="none" w:sz="0" w:space="0" w:color="auto"/>
        <w:left w:val="none" w:sz="0" w:space="0" w:color="auto"/>
        <w:bottom w:val="none" w:sz="0" w:space="0" w:color="auto"/>
        <w:right w:val="none" w:sz="0" w:space="0" w:color="auto"/>
      </w:divBdr>
    </w:div>
    <w:div w:id="214972234">
      <w:bodyDiv w:val="1"/>
      <w:marLeft w:val="0"/>
      <w:marRight w:val="0"/>
      <w:marTop w:val="0"/>
      <w:marBottom w:val="0"/>
      <w:divBdr>
        <w:top w:val="none" w:sz="0" w:space="0" w:color="auto"/>
        <w:left w:val="none" w:sz="0" w:space="0" w:color="auto"/>
        <w:bottom w:val="none" w:sz="0" w:space="0" w:color="auto"/>
        <w:right w:val="none" w:sz="0" w:space="0" w:color="auto"/>
      </w:divBdr>
    </w:div>
    <w:div w:id="361562170">
      <w:bodyDiv w:val="1"/>
      <w:marLeft w:val="0"/>
      <w:marRight w:val="0"/>
      <w:marTop w:val="0"/>
      <w:marBottom w:val="0"/>
      <w:divBdr>
        <w:top w:val="none" w:sz="0" w:space="0" w:color="auto"/>
        <w:left w:val="none" w:sz="0" w:space="0" w:color="auto"/>
        <w:bottom w:val="none" w:sz="0" w:space="0" w:color="auto"/>
        <w:right w:val="none" w:sz="0" w:space="0" w:color="auto"/>
      </w:divBdr>
      <w:divsChild>
        <w:div w:id="1477336495">
          <w:marLeft w:val="0"/>
          <w:marRight w:val="0"/>
          <w:marTop w:val="120"/>
          <w:marBottom w:val="0"/>
          <w:divBdr>
            <w:top w:val="none" w:sz="0" w:space="0" w:color="auto"/>
            <w:left w:val="none" w:sz="0" w:space="0" w:color="auto"/>
            <w:bottom w:val="none" w:sz="0" w:space="0" w:color="auto"/>
            <w:right w:val="none" w:sz="0" w:space="0" w:color="auto"/>
          </w:divBdr>
          <w:divsChild>
            <w:div w:id="603997998">
              <w:marLeft w:val="0"/>
              <w:marRight w:val="0"/>
              <w:marTop w:val="0"/>
              <w:marBottom w:val="0"/>
              <w:divBdr>
                <w:top w:val="none" w:sz="0" w:space="0" w:color="auto"/>
                <w:left w:val="none" w:sz="0" w:space="0" w:color="auto"/>
                <w:bottom w:val="none" w:sz="0" w:space="0" w:color="auto"/>
                <w:right w:val="none" w:sz="0" w:space="0" w:color="auto"/>
              </w:divBdr>
            </w:div>
          </w:divsChild>
        </w:div>
        <w:div w:id="439108738">
          <w:marLeft w:val="0"/>
          <w:marRight w:val="0"/>
          <w:marTop w:val="120"/>
          <w:marBottom w:val="0"/>
          <w:divBdr>
            <w:top w:val="none" w:sz="0" w:space="0" w:color="auto"/>
            <w:left w:val="none" w:sz="0" w:space="0" w:color="auto"/>
            <w:bottom w:val="none" w:sz="0" w:space="0" w:color="auto"/>
            <w:right w:val="none" w:sz="0" w:space="0" w:color="auto"/>
          </w:divBdr>
          <w:divsChild>
            <w:div w:id="623511353">
              <w:marLeft w:val="0"/>
              <w:marRight w:val="0"/>
              <w:marTop w:val="0"/>
              <w:marBottom w:val="0"/>
              <w:divBdr>
                <w:top w:val="none" w:sz="0" w:space="0" w:color="auto"/>
                <w:left w:val="none" w:sz="0" w:space="0" w:color="auto"/>
                <w:bottom w:val="none" w:sz="0" w:space="0" w:color="auto"/>
                <w:right w:val="none" w:sz="0" w:space="0" w:color="auto"/>
              </w:divBdr>
            </w:div>
          </w:divsChild>
        </w:div>
        <w:div w:id="932276404">
          <w:marLeft w:val="0"/>
          <w:marRight w:val="0"/>
          <w:marTop w:val="120"/>
          <w:marBottom w:val="0"/>
          <w:divBdr>
            <w:top w:val="none" w:sz="0" w:space="0" w:color="auto"/>
            <w:left w:val="none" w:sz="0" w:space="0" w:color="auto"/>
            <w:bottom w:val="none" w:sz="0" w:space="0" w:color="auto"/>
            <w:right w:val="none" w:sz="0" w:space="0" w:color="auto"/>
          </w:divBdr>
          <w:divsChild>
            <w:div w:id="1102527901">
              <w:marLeft w:val="0"/>
              <w:marRight w:val="0"/>
              <w:marTop w:val="0"/>
              <w:marBottom w:val="0"/>
              <w:divBdr>
                <w:top w:val="none" w:sz="0" w:space="0" w:color="auto"/>
                <w:left w:val="none" w:sz="0" w:space="0" w:color="auto"/>
                <w:bottom w:val="none" w:sz="0" w:space="0" w:color="auto"/>
                <w:right w:val="none" w:sz="0" w:space="0" w:color="auto"/>
              </w:divBdr>
            </w:div>
          </w:divsChild>
        </w:div>
        <w:div w:id="844369379">
          <w:marLeft w:val="0"/>
          <w:marRight w:val="0"/>
          <w:marTop w:val="120"/>
          <w:marBottom w:val="0"/>
          <w:divBdr>
            <w:top w:val="none" w:sz="0" w:space="0" w:color="auto"/>
            <w:left w:val="none" w:sz="0" w:space="0" w:color="auto"/>
            <w:bottom w:val="none" w:sz="0" w:space="0" w:color="auto"/>
            <w:right w:val="none" w:sz="0" w:space="0" w:color="auto"/>
          </w:divBdr>
          <w:divsChild>
            <w:div w:id="2006281378">
              <w:marLeft w:val="0"/>
              <w:marRight w:val="0"/>
              <w:marTop w:val="0"/>
              <w:marBottom w:val="0"/>
              <w:divBdr>
                <w:top w:val="none" w:sz="0" w:space="0" w:color="auto"/>
                <w:left w:val="none" w:sz="0" w:space="0" w:color="auto"/>
                <w:bottom w:val="none" w:sz="0" w:space="0" w:color="auto"/>
                <w:right w:val="none" w:sz="0" w:space="0" w:color="auto"/>
              </w:divBdr>
            </w:div>
          </w:divsChild>
        </w:div>
        <w:div w:id="1682850051">
          <w:marLeft w:val="0"/>
          <w:marRight w:val="0"/>
          <w:marTop w:val="120"/>
          <w:marBottom w:val="0"/>
          <w:divBdr>
            <w:top w:val="none" w:sz="0" w:space="0" w:color="auto"/>
            <w:left w:val="none" w:sz="0" w:space="0" w:color="auto"/>
            <w:bottom w:val="none" w:sz="0" w:space="0" w:color="auto"/>
            <w:right w:val="none" w:sz="0" w:space="0" w:color="auto"/>
          </w:divBdr>
          <w:divsChild>
            <w:div w:id="1401170256">
              <w:marLeft w:val="0"/>
              <w:marRight w:val="0"/>
              <w:marTop w:val="0"/>
              <w:marBottom w:val="0"/>
              <w:divBdr>
                <w:top w:val="none" w:sz="0" w:space="0" w:color="auto"/>
                <w:left w:val="none" w:sz="0" w:space="0" w:color="auto"/>
                <w:bottom w:val="none" w:sz="0" w:space="0" w:color="auto"/>
                <w:right w:val="none" w:sz="0" w:space="0" w:color="auto"/>
              </w:divBdr>
            </w:div>
          </w:divsChild>
        </w:div>
        <w:div w:id="1712608287">
          <w:marLeft w:val="0"/>
          <w:marRight w:val="0"/>
          <w:marTop w:val="120"/>
          <w:marBottom w:val="0"/>
          <w:divBdr>
            <w:top w:val="none" w:sz="0" w:space="0" w:color="auto"/>
            <w:left w:val="none" w:sz="0" w:space="0" w:color="auto"/>
            <w:bottom w:val="none" w:sz="0" w:space="0" w:color="auto"/>
            <w:right w:val="none" w:sz="0" w:space="0" w:color="auto"/>
          </w:divBdr>
          <w:divsChild>
            <w:div w:id="415712473">
              <w:marLeft w:val="0"/>
              <w:marRight w:val="0"/>
              <w:marTop w:val="0"/>
              <w:marBottom w:val="0"/>
              <w:divBdr>
                <w:top w:val="none" w:sz="0" w:space="0" w:color="auto"/>
                <w:left w:val="none" w:sz="0" w:space="0" w:color="auto"/>
                <w:bottom w:val="none" w:sz="0" w:space="0" w:color="auto"/>
                <w:right w:val="none" w:sz="0" w:space="0" w:color="auto"/>
              </w:divBdr>
            </w:div>
          </w:divsChild>
        </w:div>
        <w:div w:id="1124542731">
          <w:marLeft w:val="0"/>
          <w:marRight w:val="0"/>
          <w:marTop w:val="120"/>
          <w:marBottom w:val="0"/>
          <w:divBdr>
            <w:top w:val="none" w:sz="0" w:space="0" w:color="auto"/>
            <w:left w:val="none" w:sz="0" w:space="0" w:color="auto"/>
            <w:bottom w:val="none" w:sz="0" w:space="0" w:color="auto"/>
            <w:right w:val="none" w:sz="0" w:space="0" w:color="auto"/>
          </w:divBdr>
          <w:divsChild>
            <w:div w:id="1198086235">
              <w:marLeft w:val="0"/>
              <w:marRight w:val="0"/>
              <w:marTop w:val="0"/>
              <w:marBottom w:val="0"/>
              <w:divBdr>
                <w:top w:val="none" w:sz="0" w:space="0" w:color="auto"/>
                <w:left w:val="none" w:sz="0" w:space="0" w:color="auto"/>
                <w:bottom w:val="none" w:sz="0" w:space="0" w:color="auto"/>
                <w:right w:val="none" w:sz="0" w:space="0" w:color="auto"/>
              </w:divBdr>
            </w:div>
          </w:divsChild>
        </w:div>
        <w:div w:id="2045985375">
          <w:marLeft w:val="0"/>
          <w:marRight w:val="0"/>
          <w:marTop w:val="120"/>
          <w:marBottom w:val="0"/>
          <w:divBdr>
            <w:top w:val="none" w:sz="0" w:space="0" w:color="auto"/>
            <w:left w:val="none" w:sz="0" w:space="0" w:color="auto"/>
            <w:bottom w:val="none" w:sz="0" w:space="0" w:color="auto"/>
            <w:right w:val="none" w:sz="0" w:space="0" w:color="auto"/>
          </w:divBdr>
          <w:divsChild>
            <w:div w:id="291792625">
              <w:marLeft w:val="0"/>
              <w:marRight w:val="0"/>
              <w:marTop w:val="0"/>
              <w:marBottom w:val="0"/>
              <w:divBdr>
                <w:top w:val="none" w:sz="0" w:space="0" w:color="auto"/>
                <w:left w:val="none" w:sz="0" w:space="0" w:color="auto"/>
                <w:bottom w:val="none" w:sz="0" w:space="0" w:color="auto"/>
                <w:right w:val="none" w:sz="0" w:space="0" w:color="auto"/>
              </w:divBdr>
            </w:div>
            <w:div w:id="1503668603">
              <w:marLeft w:val="0"/>
              <w:marRight w:val="0"/>
              <w:marTop w:val="0"/>
              <w:marBottom w:val="0"/>
              <w:divBdr>
                <w:top w:val="none" w:sz="0" w:space="0" w:color="auto"/>
                <w:left w:val="none" w:sz="0" w:space="0" w:color="auto"/>
                <w:bottom w:val="none" w:sz="0" w:space="0" w:color="auto"/>
                <w:right w:val="none" w:sz="0" w:space="0" w:color="auto"/>
              </w:divBdr>
            </w:div>
          </w:divsChild>
        </w:div>
        <w:div w:id="1335262578">
          <w:marLeft w:val="0"/>
          <w:marRight w:val="0"/>
          <w:marTop w:val="120"/>
          <w:marBottom w:val="0"/>
          <w:divBdr>
            <w:top w:val="none" w:sz="0" w:space="0" w:color="auto"/>
            <w:left w:val="none" w:sz="0" w:space="0" w:color="auto"/>
            <w:bottom w:val="none" w:sz="0" w:space="0" w:color="auto"/>
            <w:right w:val="none" w:sz="0" w:space="0" w:color="auto"/>
          </w:divBdr>
          <w:divsChild>
            <w:div w:id="1313024659">
              <w:marLeft w:val="0"/>
              <w:marRight w:val="0"/>
              <w:marTop w:val="0"/>
              <w:marBottom w:val="0"/>
              <w:divBdr>
                <w:top w:val="none" w:sz="0" w:space="0" w:color="auto"/>
                <w:left w:val="none" w:sz="0" w:space="0" w:color="auto"/>
                <w:bottom w:val="none" w:sz="0" w:space="0" w:color="auto"/>
                <w:right w:val="none" w:sz="0" w:space="0" w:color="auto"/>
              </w:divBdr>
            </w:div>
          </w:divsChild>
        </w:div>
        <w:div w:id="546261187">
          <w:marLeft w:val="0"/>
          <w:marRight w:val="0"/>
          <w:marTop w:val="120"/>
          <w:marBottom w:val="0"/>
          <w:divBdr>
            <w:top w:val="none" w:sz="0" w:space="0" w:color="auto"/>
            <w:left w:val="none" w:sz="0" w:space="0" w:color="auto"/>
            <w:bottom w:val="none" w:sz="0" w:space="0" w:color="auto"/>
            <w:right w:val="none" w:sz="0" w:space="0" w:color="auto"/>
          </w:divBdr>
          <w:divsChild>
            <w:div w:id="909657414">
              <w:marLeft w:val="0"/>
              <w:marRight w:val="0"/>
              <w:marTop w:val="0"/>
              <w:marBottom w:val="0"/>
              <w:divBdr>
                <w:top w:val="none" w:sz="0" w:space="0" w:color="auto"/>
                <w:left w:val="none" w:sz="0" w:space="0" w:color="auto"/>
                <w:bottom w:val="none" w:sz="0" w:space="0" w:color="auto"/>
                <w:right w:val="none" w:sz="0" w:space="0" w:color="auto"/>
              </w:divBdr>
            </w:div>
          </w:divsChild>
        </w:div>
        <w:div w:id="193467620">
          <w:marLeft w:val="0"/>
          <w:marRight w:val="0"/>
          <w:marTop w:val="120"/>
          <w:marBottom w:val="0"/>
          <w:divBdr>
            <w:top w:val="none" w:sz="0" w:space="0" w:color="auto"/>
            <w:left w:val="none" w:sz="0" w:space="0" w:color="auto"/>
            <w:bottom w:val="none" w:sz="0" w:space="0" w:color="auto"/>
            <w:right w:val="none" w:sz="0" w:space="0" w:color="auto"/>
          </w:divBdr>
          <w:divsChild>
            <w:div w:id="241304983">
              <w:marLeft w:val="0"/>
              <w:marRight w:val="0"/>
              <w:marTop w:val="0"/>
              <w:marBottom w:val="0"/>
              <w:divBdr>
                <w:top w:val="none" w:sz="0" w:space="0" w:color="auto"/>
                <w:left w:val="none" w:sz="0" w:space="0" w:color="auto"/>
                <w:bottom w:val="none" w:sz="0" w:space="0" w:color="auto"/>
                <w:right w:val="none" w:sz="0" w:space="0" w:color="auto"/>
              </w:divBdr>
            </w:div>
          </w:divsChild>
        </w:div>
        <w:div w:id="225071452">
          <w:marLeft w:val="0"/>
          <w:marRight w:val="0"/>
          <w:marTop w:val="120"/>
          <w:marBottom w:val="0"/>
          <w:divBdr>
            <w:top w:val="none" w:sz="0" w:space="0" w:color="auto"/>
            <w:left w:val="none" w:sz="0" w:space="0" w:color="auto"/>
            <w:bottom w:val="none" w:sz="0" w:space="0" w:color="auto"/>
            <w:right w:val="none" w:sz="0" w:space="0" w:color="auto"/>
          </w:divBdr>
          <w:divsChild>
            <w:div w:id="2084057752">
              <w:marLeft w:val="0"/>
              <w:marRight w:val="0"/>
              <w:marTop w:val="0"/>
              <w:marBottom w:val="0"/>
              <w:divBdr>
                <w:top w:val="none" w:sz="0" w:space="0" w:color="auto"/>
                <w:left w:val="none" w:sz="0" w:space="0" w:color="auto"/>
                <w:bottom w:val="none" w:sz="0" w:space="0" w:color="auto"/>
                <w:right w:val="none" w:sz="0" w:space="0" w:color="auto"/>
              </w:divBdr>
            </w:div>
          </w:divsChild>
        </w:div>
        <w:div w:id="305625850">
          <w:marLeft w:val="0"/>
          <w:marRight w:val="0"/>
          <w:marTop w:val="120"/>
          <w:marBottom w:val="0"/>
          <w:divBdr>
            <w:top w:val="none" w:sz="0" w:space="0" w:color="auto"/>
            <w:left w:val="none" w:sz="0" w:space="0" w:color="auto"/>
            <w:bottom w:val="none" w:sz="0" w:space="0" w:color="auto"/>
            <w:right w:val="none" w:sz="0" w:space="0" w:color="auto"/>
          </w:divBdr>
          <w:divsChild>
            <w:div w:id="1167668527">
              <w:marLeft w:val="0"/>
              <w:marRight w:val="0"/>
              <w:marTop w:val="0"/>
              <w:marBottom w:val="0"/>
              <w:divBdr>
                <w:top w:val="none" w:sz="0" w:space="0" w:color="auto"/>
                <w:left w:val="none" w:sz="0" w:space="0" w:color="auto"/>
                <w:bottom w:val="none" w:sz="0" w:space="0" w:color="auto"/>
                <w:right w:val="none" w:sz="0" w:space="0" w:color="auto"/>
              </w:divBdr>
            </w:div>
            <w:div w:id="1826046074">
              <w:marLeft w:val="0"/>
              <w:marRight w:val="0"/>
              <w:marTop w:val="0"/>
              <w:marBottom w:val="0"/>
              <w:divBdr>
                <w:top w:val="none" w:sz="0" w:space="0" w:color="auto"/>
                <w:left w:val="none" w:sz="0" w:space="0" w:color="auto"/>
                <w:bottom w:val="none" w:sz="0" w:space="0" w:color="auto"/>
                <w:right w:val="none" w:sz="0" w:space="0" w:color="auto"/>
              </w:divBdr>
            </w:div>
            <w:div w:id="440729641">
              <w:marLeft w:val="0"/>
              <w:marRight w:val="0"/>
              <w:marTop w:val="0"/>
              <w:marBottom w:val="0"/>
              <w:divBdr>
                <w:top w:val="none" w:sz="0" w:space="0" w:color="auto"/>
                <w:left w:val="none" w:sz="0" w:space="0" w:color="auto"/>
                <w:bottom w:val="none" w:sz="0" w:space="0" w:color="auto"/>
                <w:right w:val="none" w:sz="0" w:space="0" w:color="auto"/>
              </w:divBdr>
            </w:div>
            <w:div w:id="1021476089">
              <w:marLeft w:val="0"/>
              <w:marRight w:val="0"/>
              <w:marTop w:val="0"/>
              <w:marBottom w:val="0"/>
              <w:divBdr>
                <w:top w:val="none" w:sz="0" w:space="0" w:color="auto"/>
                <w:left w:val="none" w:sz="0" w:space="0" w:color="auto"/>
                <w:bottom w:val="none" w:sz="0" w:space="0" w:color="auto"/>
                <w:right w:val="none" w:sz="0" w:space="0" w:color="auto"/>
              </w:divBdr>
            </w:div>
            <w:div w:id="2025399916">
              <w:marLeft w:val="0"/>
              <w:marRight w:val="0"/>
              <w:marTop w:val="0"/>
              <w:marBottom w:val="0"/>
              <w:divBdr>
                <w:top w:val="none" w:sz="0" w:space="0" w:color="auto"/>
                <w:left w:val="none" w:sz="0" w:space="0" w:color="auto"/>
                <w:bottom w:val="none" w:sz="0" w:space="0" w:color="auto"/>
                <w:right w:val="none" w:sz="0" w:space="0" w:color="auto"/>
              </w:divBdr>
            </w:div>
            <w:div w:id="221916424">
              <w:marLeft w:val="0"/>
              <w:marRight w:val="0"/>
              <w:marTop w:val="0"/>
              <w:marBottom w:val="0"/>
              <w:divBdr>
                <w:top w:val="none" w:sz="0" w:space="0" w:color="auto"/>
                <w:left w:val="none" w:sz="0" w:space="0" w:color="auto"/>
                <w:bottom w:val="none" w:sz="0" w:space="0" w:color="auto"/>
                <w:right w:val="none" w:sz="0" w:space="0" w:color="auto"/>
              </w:divBdr>
            </w:div>
            <w:div w:id="402608091">
              <w:marLeft w:val="0"/>
              <w:marRight w:val="0"/>
              <w:marTop w:val="0"/>
              <w:marBottom w:val="0"/>
              <w:divBdr>
                <w:top w:val="none" w:sz="0" w:space="0" w:color="auto"/>
                <w:left w:val="none" w:sz="0" w:space="0" w:color="auto"/>
                <w:bottom w:val="none" w:sz="0" w:space="0" w:color="auto"/>
                <w:right w:val="none" w:sz="0" w:space="0" w:color="auto"/>
              </w:divBdr>
            </w:div>
            <w:div w:id="429084511">
              <w:marLeft w:val="0"/>
              <w:marRight w:val="0"/>
              <w:marTop w:val="0"/>
              <w:marBottom w:val="0"/>
              <w:divBdr>
                <w:top w:val="none" w:sz="0" w:space="0" w:color="auto"/>
                <w:left w:val="none" w:sz="0" w:space="0" w:color="auto"/>
                <w:bottom w:val="none" w:sz="0" w:space="0" w:color="auto"/>
                <w:right w:val="none" w:sz="0" w:space="0" w:color="auto"/>
              </w:divBdr>
            </w:div>
          </w:divsChild>
        </w:div>
        <w:div w:id="1646355550">
          <w:marLeft w:val="0"/>
          <w:marRight w:val="0"/>
          <w:marTop w:val="120"/>
          <w:marBottom w:val="0"/>
          <w:divBdr>
            <w:top w:val="none" w:sz="0" w:space="0" w:color="auto"/>
            <w:left w:val="none" w:sz="0" w:space="0" w:color="auto"/>
            <w:bottom w:val="none" w:sz="0" w:space="0" w:color="auto"/>
            <w:right w:val="none" w:sz="0" w:space="0" w:color="auto"/>
          </w:divBdr>
          <w:divsChild>
            <w:div w:id="1714577914">
              <w:marLeft w:val="0"/>
              <w:marRight w:val="0"/>
              <w:marTop w:val="0"/>
              <w:marBottom w:val="0"/>
              <w:divBdr>
                <w:top w:val="none" w:sz="0" w:space="0" w:color="auto"/>
                <w:left w:val="none" w:sz="0" w:space="0" w:color="auto"/>
                <w:bottom w:val="none" w:sz="0" w:space="0" w:color="auto"/>
                <w:right w:val="none" w:sz="0" w:space="0" w:color="auto"/>
              </w:divBdr>
            </w:div>
          </w:divsChild>
        </w:div>
        <w:div w:id="1999648643">
          <w:marLeft w:val="0"/>
          <w:marRight w:val="0"/>
          <w:marTop w:val="120"/>
          <w:marBottom w:val="0"/>
          <w:divBdr>
            <w:top w:val="none" w:sz="0" w:space="0" w:color="auto"/>
            <w:left w:val="none" w:sz="0" w:space="0" w:color="auto"/>
            <w:bottom w:val="none" w:sz="0" w:space="0" w:color="auto"/>
            <w:right w:val="none" w:sz="0" w:space="0" w:color="auto"/>
          </w:divBdr>
          <w:divsChild>
            <w:div w:id="294260817">
              <w:marLeft w:val="0"/>
              <w:marRight w:val="0"/>
              <w:marTop w:val="0"/>
              <w:marBottom w:val="0"/>
              <w:divBdr>
                <w:top w:val="none" w:sz="0" w:space="0" w:color="auto"/>
                <w:left w:val="none" w:sz="0" w:space="0" w:color="auto"/>
                <w:bottom w:val="none" w:sz="0" w:space="0" w:color="auto"/>
                <w:right w:val="none" w:sz="0" w:space="0" w:color="auto"/>
              </w:divBdr>
            </w:div>
          </w:divsChild>
        </w:div>
        <w:div w:id="1050881541">
          <w:marLeft w:val="0"/>
          <w:marRight w:val="0"/>
          <w:marTop w:val="120"/>
          <w:marBottom w:val="0"/>
          <w:divBdr>
            <w:top w:val="none" w:sz="0" w:space="0" w:color="auto"/>
            <w:left w:val="none" w:sz="0" w:space="0" w:color="auto"/>
            <w:bottom w:val="none" w:sz="0" w:space="0" w:color="auto"/>
            <w:right w:val="none" w:sz="0" w:space="0" w:color="auto"/>
          </w:divBdr>
          <w:divsChild>
            <w:div w:id="9086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3965">
      <w:bodyDiv w:val="1"/>
      <w:marLeft w:val="0"/>
      <w:marRight w:val="0"/>
      <w:marTop w:val="0"/>
      <w:marBottom w:val="0"/>
      <w:divBdr>
        <w:top w:val="none" w:sz="0" w:space="0" w:color="auto"/>
        <w:left w:val="none" w:sz="0" w:space="0" w:color="auto"/>
        <w:bottom w:val="none" w:sz="0" w:space="0" w:color="auto"/>
        <w:right w:val="none" w:sz="0" w:space="0" w:color="auto"/>
      </w:divBdr>
      <w:divsChild>
        <w:div w:id="62609514">
          <w:marLeft w:val="0"/>
          <w:marRight w:val="0"/>
          <w:marTop w:val="0"/>
          <w:marBottom w:val="0"/>
          <w:divBdr>
            <w:top w:val="none" w:sz="0" w:space="0" w:color="auto"/>
            <w:left w:val="none" w:sz="0" w:space="0" w:color="auto"/>
            <w:bottom w:val="none" w:sz="0" w:space="0" w:color="auto"/>
            <w:right w:val="none" w:sz="0" w:space="0" w:color="auto"/>
          </w:divBdr>
          <w:divsChild>
            <w:div w:id="1371688302">
              <w:marLeft w:val="840"/>
              <w:marRight w:val="0"/>
              <w:marTop w:val="0"/>
              <w:marBottom w:val="120"/>
              <w:divBdr>
                <w:top w:val="none" w:sz="0" w:space="0" w:color="auto"/>
                <w:left w:val="none" w:sz="0" w:space="0" w:color="auto"/>
                <w:bottom w:val="none" w:sz="0" w:space="0" w:color="auto"/>
                <w:right w:val="none" w:sz="0" w:space="0" w:color="auto"/>
              </w:divBdr>
            </w:div>
          </w:divsChild>
        </w:div>
        <w:div w:id="1764301139">
          <w:marLeft w:val="0"/>
          <w:marRight w:val="0"/>
          <w:marTop w:val="0"/>
          <w:marBottom w:val="0"/>
          <w:divBdr>
            <w:top w:val="none" w:sz="0" w:space="0" w:color="auto"/>
            <w:left w:val="none" w:sz="0" w:space="0" w:color="auto"/>
            <w:bottom w:val="none" w:sz="0" w:space="0" w:color="auto"/>
            <w:right w:val="none" w:sz="0" w:space="0" w:color="auto"/>
          </w:divBdr>
          <w:divsChild>
            <w:div w:id="1929192523">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411393541">
      <w:bodyDiv w:val="1"/>
      <w:marLeft w:val="0"/>
      <w:marRight w:val="0"/>
      <w:marTop w:val="0"/>
      <w:marBottom w:val="0"/>
      <w:divBdr>
        <w:top w:val="none" w:sz="0" w:space="0" w:color="auto"/>
        <w:left w:val="none" w:sz="0" w:space="0" w:color="auto"/>
        <w:bottom w:val="none" w:sz="0" w:space="0" w:color="auto"/>
        <w:right w:val="none" w:sz="0" w:space="0" w:color="auto"/>
      </w:divBdr>
      <w:divsChild>
        <w:div w:id="724715001">
          <w:marLeft w:val="0"/>
          <w:marRight w:val="0"/>
          <w:marTop w:val="0"/>
          <w:marBottom w:val="0"/>
          <w:divBdr>
            <w:top w:val="none" w:sz="0" w:space="0" w:color="auto"/>
            <w:left w:val="none" w:sz="0" w:space="0" w:color="auto"/>
            <w:bottom w:val="none" w:sz="0" w:space="0" w:color="auto"/>
            <w:right w:val="none" w:sz="0" w:space="0" w:color="auto"/>
          </w:divBdr>
          <w:divsChild>
            <w:div w:id="534391305">
              <w:marLeft w:val="840"/>
              <w:marRight w:val="0"/>
              <w:marTop w:val="0"/>
              <w:marBottom w:val="120"/>
              <w:divBdr>
                <w:top w:val="none" w:sz="0" w:space="0" w:color="auto"/>
                <w:left w:val="none" w:sz="0" w:space="0" w:color="auto"/>
                <w:bottom w:val="none" w:sz="0" w:space="0" w:color="auto"/>
                <w:right w:val="none" w:sz="0" w:space="0" w:color="auto"/>
              </w:divBdr>
            </w:div>
          </w:divsChild>
        </w:div>
        <w:div w:id="265430166">
          <w:marLeft w:val="1200"/>
          <w:marRight w:val="480"/>
          <w:marTop w:val="240"/>
          <w:marBottom w:val="120"/>
          <w:divBdr>
            <w:top w:val="none" w:sz="0" w:space="0" w:color="auto"/>
            <w:left w:val="none" w:sz="0" w:space="0" w:color="auto"/>
            <w:bottom w:val="none" w:sz="0" w:space="0" w:color="auto"/>
            <w:right w:val="none" w:sz="0" w:space="0" w:color="auto"/>
          </w:divBdr>
        </w:div>
      </w:divsChild>
    </w:div>
    <w:div w:id="421533550">
      <w:bodyDiv w:val="1"/>
      <w:marLeft w:val="0"/>
      <w:marRight w:val="0"/>
      <w:marTop w:val="0"/>
      <w:marBottom w:val="0"/>
      <w:divBdr>
        <w:top w:val="none" w:sz="0" w:space="0" w:color="auto"/>
        <w:left w:val="none" w:sz="0" w:space="0" w:color="auto"/>
        <w:bottom w:val="none" w:sz="0" w:space="0" w:color="auto"/>
        <w:right w:val="none" w:sz="0" w:space="0" w:color="auto"/>
      </w:divBdr>
    </w:div>
    <w:div w:id="569269311">
      <w:bodyDiv w:val="1"/>
      <w:marLeft w:val="0"/>
      <w:marRight w:val="0"/>
      <w:marTop w:val="0"/>
      <w:marBottom w:val="0"/>
      <w:divBdr>
        <w:top w:val="none" w:sz="0" w:space="0" w:color="auto"/>
        <w:left w:val="none" w:sz="0" w:space="0" w:color="auto"/>
        <w:bottom w:val="none" w:sz="0" w:space="0" w:color="auto"/>
        <w:right w:val="none" w:sz="0" w:space="0" w:color="auto"/>
      </w:divBdr>
      <w:divsChild>
        <w:div w:id="420376051">
          <w:marLeft w:val="0"/>
          <w:marRight w:val="0"/>
          <w:marTop w:val="0"/>
          <w:marBottom w:val="0"/>
          <w:divBdr>
            <w:top w:val="none" w:sz="0" w:space="0" w:color="auto"/>
            <w:left w:val="none" w:sz="0" w:space="0" w:color="auto"/>
            <w:bottom w:val="none" w:sz="0" w:space="0" w:color="auto"/>
            <w:right w:val="none" w:sz="0" w:space="0" w:color="auto"/>
          </w:divBdr>
          <w:divsChild>
            <w:div w:id="331957240">
              <w:marLeft w:val="0"/>
              <w:marRight w:val="0"/>
              <w:marTop w:val="0"/>
              <w:marBottom w:val="0"/>
              <w:divBdr>
                <w:top w:val="none" w:sz="0" w:space="0" w:color="auto"/>
                <w:left w:val="none" w:sz="0" w:space="0" w:color="auto"/>
                <w:bottom w:val="none" w:sz="0" w:space="0" w:color="auto"/>
                <w:right w:val="none" w:sz="0" w:space="0" w:color="auto"/>
              </w:divBdr>
              <w:divsChild>
                <w:div w:id="1630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8995">
      <w:bodyDiv w:val="1"/>
      <w:marLeft w:val="0"/>
      <w:marRight w:val="0"/>
      <w:marTop w:val="0"/>
      <w:marBottom w:val="0"/>
      <w:divBdr>
        <w:top w:val="none" w:sz="0" w:space="0" w:color="auto"/>
        <w:left w:val="none" w:sz="0" w:space="0" w:color="auto"/>
        <w:bottom w:val="none" w:sz="0" w:space="0" w:color="auto"/>
        <w:right w:val="none" w:sz="0" w:space="0" w:color="auto"/>
      </w:divBdr>
    </w:div>
    <w:div w:id="594947089">
      <w:bodyDiv w:val="1"/>
      <w:marLeft w:val="0"/>
      <w:marRight w:val="0"/>
      <w:marTop w:val="0"/>
      <w:marBottom w:val="0"/>
      <w:divBdr>
        <w:top w:val="none" w:sz="0" w:space="0" w:color="auto"/>
        <w:left w:val="none" w:sz="0" w:space="0" w:color="auto"/>
        <w:bottom w:val="none" w:sz="0" w:space="0" w:color="auto"/>
        <w:right w:val="none" w:sz="0" w:space="0" w:color="auto"/>
      </w:divBdr>
    </w:div>
    <w:div w:id="602569849">
      <w:bodyDiv w:val="1"/>
      <w:marLeft w:val="0"/>
      <w:marRight w:val="0"/>
      <w:marTop w:val="0"/>
      <w:marBottom w:val="0"/>
      <w:divBdr>
        <w:top w:val="none" w:sz="0" w:space="0" w:color="auto"/>
        <w:left w:val="none" w:sz="0" w:space="0" w:color="auto"/>
        <w:bottom w:val="none" w:sz="0" w:space="0" w:color="auto"/>
        <w:right w:val="none" w:sz="0" w:space="0" w:color="auto"/>
      </w:divBdr>
    </w:div>
    <w:div w:id="630790584">
      <w:bodyDiv w:val="1"/>
      <w:marLeft w:val="0"/>
      <w:marRight w:val="0"/>
      <w:marTop w:val="0"/>
      <w:marBottom w:val="0"/>
      <w:divBdr>
        <w:top w:val="none" w:sz="0" w:space="0" w:color="auto"/>
        <w:left w:val="none" w:sz="0" w:space="0" w:color="auto"/>
        <w:bottom w:val="none" w:sz="0" w:space="0" w:color="auto"/>
        <w:right w:val="none" w:sz="0" w:space="0" w:color="auto"/>
      </w:divBdr>
      <w:divsChild>
        <w:div w:id="1283734216">
          <w:marLeft w:val="0"/>
          <w:marRight w:val="0"/>
          <w:marTop w:val="0"/>
          <w:marBottom w:val="0"/>
          <w:divBdr>
            <w:top w:val="none" w:sz="0" w:space="0" w:color="auto"/>
            <w:left w:val="none" w:sz="0" w:space="0" w:color="auto"/>
            <w:bottom w:val="none" w:sz="0" w:space="0" w:color="auto"/>
            <w:right w:val="none" w:sz="0" w:space="0" w:color="auto"/>
          </w:divBdr>
          <w:divsChild>
            <w:div w:id="1316378145">
              <w:marLeft w:val="0"/>
              <w:marRight w:val="0"/>
              <w:marTop w:val="0"/>
              <w:marBottom w:val="0"/>
              <w:divBdr>
                <w:top w:val="none" w:sz="0" w:space="0" w:color="auto"/>
                <w:left w:val="none" w:sz="0" w:space="0" w:color="auto"/>
                <w:bottom w:val="none" w:sz="0" w:space="0" w:color="auto"/>
                <w:right w:val="none" w:sz="0" w:space="0" w:color="auto"/>
              </w:divBdr>
              <w:divsChild>
                <w:div w:id="2016035176">
                  <w:marLeft w:val="0"/>
                  <w:marRight w:val="0"/>
                  <w:marTop w:val="0"/>
                  <w:marBottom w:val="0"/>
                  <w:divBdr>
                    <w:top w:val="none" w:sz="0" w:space="0" w:color="auto"/>
                    <w:left w:val="none" w:sz="0" w:space="0" w:color="auto"/>
                    <w:bottom w:val="none" w:sz="0" w:space="0" w:color="auto"/>
                    <w:right w:val="none" w:sz="0" w:space="0" w:color="auto"/>
                  </w:divBdr>
                  <w:divsChild>
                    <w:div w:id="1169253963">
                      <w:marLeft w:val="0"/>
                      <w:marRight w:val="0"/>
                      <w:marTop w:val="0"/>
                      <w:marBottom w:val="0"/>
                      <w:divBdr>
                        <w:top w:val="none" w:sz="0" w:space="0" w:color="auto"/>
                        <w:left w:val="none" w:sz="0" w:space="0" w:color="auto"/>
                        <w:bottom w:val="none" w:sz="0" w:space="0" w:color="auto"/>
                        <w:right w:val="none" w:sz="0" w:space="0" w:color="auto"/>
                      </w:divBdr>
                      <w:divsChild>
                        <w:div w:id="2125297104">
                          <w:marLeft w:val="0"/>
                          <w:marRight w:val="0"/>
                          <w:marTop w:val="0"/>
                          <w:marBottom w:val="0"/>
                          <w:divBdr>
                            <w:top w:val="none" w:sz="0" w:space="0" w:color="auto"/>
                            <w:left w:val="none" w:sz="0" w:space="0" w:color="auto"/>
                            <w:bottom w:val="none" w:sz="0" w:space="0" w:color="auto"/>
                            <w:right w:val="none" w:sz="0" w:space="0" w:color="auto"/>
                          </w:divBdr>
                          <w:divsChild>
                            <w:div w:id="16697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77615">
      <w:bodyDiv w:val="1"/>
      <w:marLeft w:val="0"/>
      <w:marRight w:val="0"/>
      <w:marTop w:val="0"/>
      <w:marBottom w:val="0"/>
      <w:divBdr>
        <w:top w:val="none" w:sz="0" w:space="0" w:color="auto"/>
        <w:left w:val="none" w:sz="0" w:space="0" w:color="auto"/>
        <w:bottom w:val="none" w:sz="0" w:space="0" w:color="auto"/>
        <w:right w:val="none" w:sz="0" w:space="0" w:color="auto"/>
      </w:divBdr>
    </w:div>
    <w:div w:id="794298009">
      <w:bodyDiv w:val="1"/>
      <w:marLeft w:val="0"/>
      <w:marRight w:val="0"/>
      <w:marTop w:val="0"/>
      <w:marBottom w:val="0"/>
      <w:divBdr>
        <w:top w:val="none" w:sz="0" w:space="0" w:color="auto"/>
        <w:left w:val="none" w:sz="0" w:space="0" w:color="auto"/>
        <w:bottom w:val="none" w:sz="0" w:space="0" w:color="auto"/>
        <w:right w:val="none" w:sz="0" w:space="0" w:color="auto"/>
      </w:divBdr>
      <w:divsChild>
        <w:div w:id="2095320326">
          <w:marLeft w:val="0"/>
          <w:marRight w:val="0"/>
          <w:marTop w:val="0"/>
          <w:marBottom w:val="0"/>
          <w:divBdr>
            <w:top w:val="none" w:sz="0" w:space="0" w:color="auto"/>
            <w:left w:val="none" w:sz="0" w:space="0" w:color="auto"/>
            <w:bottom w:val="none" w:sz="0" w:space="0" w:color="auto"/>
            <w:right w:val="none" w:sz="0" w:space="0" w:color="auto"/>
          </w:divBdr>
          <w:divsChild>
            <w:div w:id="1463228975">
              <w:marLeft w:val="0"/>
              <w:marRight w:val="0"/>
              <w:marTop w:val="0"/>
              <w:marBottom w:val="0"/>
              <w:divBdr>
                <w:top w:val="none" w:sz="0" w:space="0" w:color="auto"/>
                <w:left w:val="none" w:sz="0" w:space="0" w:color="auto"/>
                <w:bottom w:val="none" w:sz="0" w:space="0" w:color="auto"/>
                <w:right w:val="none" w:sz="0" w:space="0" w:color="auto"/>
              </w:divBdr>
              <w:divsChild>
                <w:div w:id="8886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1313">
      <w:bodyDiv w:val="1"/>
      <w:marLeft w:val="0"/>
      <w:marRight w:val="0"/>
      <w:marTop w:val="0"/>
      <w:marBottom w:val="0"/>
      <w:divBdr>
        <w:top w:val="none" w:sz="0" w:space="0" w:color="auto"/>
        <w:left w:val="none" w:sz="0" w:space="0" w:color="auto"/>
        <w:bottom w:val="none" w:sz="0" w:space="0" w:color="auto"/>
        <w:right w:val="none" w:sz="0" w:space="0" w:color="auto"/>
      </w:divBdr>
    </w:div>
    <w:div w:id="1008799903">
      <w:bodyDiv w:val="1"/>
      <w:marLeft w:val="0"/>
      <w:marRight w:val="0"/>
      <w:marTop w:val="0"/>
      <w:marBottom w:val="0"/>
      <w:divBdr>
        <w:top w:val="none" w:sz="0" w:space="0" w:color="auto"/>
        <w:left w:val="none" w:sz="0" w:space="0" w:color="auto"/>
        <w:bottom w:val="none" w:sz="0" w:space="0" w:color="auto"/>
        <w:right w:val="none" w:sz="0" w:space="0" w:color="auto"/>
      </w:divBdr>
      <w:divsChild>
        <w:div w:id="297683808">
          <w:marLeft w:val="0"/>
          <w:marRight w:val="0"/>
          <w:marTop w:val="0"/>
          <w:marBottom w:val="0"/>
          <w:divBdr>
            <w:top w:val="none" w:sz="0" w:space="0" w:color="auto"/>
            <w:left w:val="none" w:sz="0" w:space="0" w:color="auto"/>
            <w:bottom w:val="none" w:sz="0" w:space="0" w:color="auto"/>
            <w:right w:val="none" w:sz="0" w:space="0" w:color="auto"/>
          </w:divBdr>
          <w:divsChild>
            <w:div w:id="1523209069">
              <w:marLeft w:val="0"/>
              <w:marRight w:val="0"/>
              <w:marTop w:val="0"/>
              <w:marBottom w:val="0"/>
              <w:divBdr>
                <w:top w:val="none" w:sz="0" w:space="0" w:color="auto"/>
                <w:left w:val="none" w:sz="0" w:space="0" w:color="auto"/>
                <w:bottom w:val="none" w:sz="0" w:space="0" w:color="auto"/>
                <w:right w:val="none" w:sz="0" w:space="0" w:color="auto"/>
              </w:divBdr>
              <w:divsChild>
                <w:div w:id="17582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821">
      <w:bodyDiv w:val="1"/>
      <w:marLeft w:val="0"/>
      <w:marRight w:val="0"/>
      <w:marTop w:val="0"/>
      <w:marBottom w:val="0"/>
      <w:divBdr>
        <w:top w:val="none" w:sz="0" w:space="0" w:color="auto"/>
        <w:left w:val="none" w:sz="0" w:space="0" w:color="auto"/>
        <w:bottom w:val="none" w:sz="0" w:space="0" w:color="auto"/>
        <w:right w:val="none" w:sz="0" w:space="0" w:color="auto"/>
      </w:divBdr>
    </w:div>
    <w:div w:id="1268852280">
      <w:bodyDiv w:val="1"/>
      <w:marLeft w:val="0"/>
      <w:marRight w:val="0"/>
      <w:marTop w:val="0"/>
      <w:marBottom w:val="0"/>
      <w:divBdr>
        <w:top w:val="none" w:sz="0" w:space="0" w:color="auto"/>
        <w:left w:val="none" w:sz="0" w:space="0" w:color="auto"/>
        <w:bottom w:val="none" w:sz="0" w:space="0" w:color="auto"/>
        <w:right w:val="none" w:sz="0" w:space="0" w:color="auto"/>
      </w:divBdr>
    </w:div>
    <w:div w:id="1468669871">
      <w:bodyDiv w:val="1"/>
      <w:marLeft w:val="0"/>
      <w:marRight w:val="0"/>
      <w:marTop w:val="0"/>
      <w:marBottom w:val="0"/>
      <w:divBdr>
        <w:top w:val="none" w:sz="0" w:space="0" w:color="auto"/>
        <w:left w:val="none" w:sz="0" w:space="0" w:color="auto"/>
        <w:bottom w:val="none" w:sz="0" w:space="0" w:color="auto"/>
        <w:right w:val="none" w:sz="0" w:space="0" w:color="auto"/>
      </w:divBdr>
      <w:divsChild>
        <w:div w:id="125318108">
          <w:marLeft w:val="0"/>
          <w:marRight w:val="0"/>
          <w:marTop w:val="0"/>
          <w:marBottom w:val="0"/>
          <w:divBdr>
            <w:top w:val="none" w:sz="0" w:space="0" w:color="auto"/>
            <w:left w:val="none" w:sz="0" w:space="0" w:color="auto"/>
            <w:bottom w:val="none" w:sz="0" w:space="0" w:color="auto"/>
            <w:right w:val="none" w:sz="0" w:space="0" w:color="auto"/>
          </w:divBdr>
          <w:divsChild>
            <w:div w:id="1572692085">
              <w:marLeft w:val="0"/>
              <w:marRight w:val="0"/>
              <w:marTop w:val="0"/>
              <w:marBottom w:val="0"/>
              <w:divBdr>
                <w:top w:val="none" w:sz="0" w:space="0" w:color="auto"/>
                <w:left w:val="none" w:sz="0" w:space="0" w:color="auto"/>
                <w:bottom w:val="none" w:sz="0" w:space="0" w:color="auto"/>
                <w:right w:val="none" w:sz="0" w:space="0" w:color="auto"/>
              </w:divBdr>
              <w:divsChild>
                <w:div w:id="923563712">
                  <w:marLeft w:val="0"/>
                  <w:marRight w:val="0"/>
                  <w:marTop w:val="0"/>
                  <w:marBottom w:val="0"/>
                  <w:divBdr>
                    <w:top w:val="none" w:sz="0" w:space="0" w:color="auto"/>
                    <w:left w:val="none" w:sz="0" w:space="0" w:color="auto"/>
                    <w:bottom w:val="none" w:sz="0" w:space="0" w:color="auto"/>
                    <w:right w:val="none" w:sz="0" w:space="0" w:color="auto"/>
                  </w:divBdr>
                  <w:divsChild>
                    <w:div w:id="1826434546">
                      <w:marLeft w:val="0"/>
                      <w:marRight w:val="0"/>
                      <w:marTop w:val="0"/>
                      <w:marBottom w:val="240"/>
                      <w:divBdr>
                        <w:top w:val="none" w:sz="0" w:space="0" w:color="auto"/>
                        <w:left w:val="none" w:sz="0" w:space="0" w:color="auto"/>
                        <w:bottom w:val="none" w:sz="0" w:space="0" w:color="auto"/>
                        <w:right w:val="none" w:sz="0" w:space="0" w:color="auto"/>
                      </w:divBdr>
                      <w:divsChild>
                        <w:div w:id="12556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30091">
          <w:marLeft w:val="0"/>
          <w:marRight w:val="0"/>
          <w:marTop w:val="0"/>
          <w:marBottom w:val="0"/>
          <w:divBdr>
            <w:top w:val="none" w:sz="0" w:space="0" w:color="auto"/>
            <w:left w:val="none" w:sz="0" w:space="0" w:color="auto"/>
            <w:bottom w:val="none" w:sz="0" w:space="0" w:color="auto"/>
            <w:right w:val="none" w:sz="0" w:space="0" w:color="auto"/>
          </w:divBdr>
        </w:div>
      </w:divsChild>
    </w:div>
    <w:div w:id="1643077796">
      <w:bodyDiv w:val="1"/>
      <w:marLeft w:val="0"/>
      <w:marRight w:val="0"/>
      <w:marTop w:val="0"/>
      <w:marBottom w:val="0"/>
      <w:divBdr>
        <w:top w:val="none" w:sz="0" w:space="0" w:color="auto"/>
        <w:left w:val="none" w:sz="0" w:space="0" w:color="auto"/>
        <w:bottom w:val="none" w:sz="0" w:space="0" w:color="auto"/>
        <w:right w:val="none" w:sz="0" w:space="0" w:color="auto"/>
      </w:divBdr>
    </w:div>
    <w:div w:id="1814366283">
      <w:bodyDiv w:val="1"/>
      <w:marLeft w:val="0"/>
      <w:marRight w:val="0"/>
      <w:marTop w:val="0"/>
      <w:marBottom w:val="0"/>
      <w:divBdr>
        <w:top w:val="none" w:sz="0" w:space="0" w:color="auto"/>
        <w:left w:val="none" w:sz="0" w:space="0" w:color="auto"/>
        <w:bottom w:val="none" w:sz="0" w:space="0" w:color="auto"/>
        <w:right w:val="none" w:sz="0" w:space="0" w:color="auto"/>
      </w:divBdr>
      <w:divsChild>
        <w:div w:id="544876189">
          <w:marLeft w:val="0"/>
          <w:marRight w:val="0"/>
          <w:marTop w:val="0"/>
          <w:marBottom w:val="686"/>
          <w:divBdr>
            <w:top w:val="none" w:sz="0" w:space="0" w:color="auto"/>
            <w:left w:val="none" w:sz="0" w:space="0" w:color="auto"/>
            <w:bottom w:val="none" w:sz="0" w:space="0" w:color="auto"/>
            <w:right w:val="none" w:sz="0" w:space="0" w:color="auto"/>
          </w:divBdr>
        </w:div>
      </w:divsChild>
    </w:div>
    <w:div w:id="1824009243">
      <w:bodyDiv w:val="1"/>
      <w:marLeft w:val="0"/>
      <w:marRight w:val="0"/>
      <w:marTop w:val="0"/>
      <w:marBottom w:val="0"/>
      <w:divBdr>
        <w:top w:val="none" w:sz="0" w:space="0" w:color="auto"/>
        <w:left w:val="none" w:sz="0" w:space="0" w:color="auto"/>
        <w:bottom w:val="none" w:sz="0" w:space="0" w:color="auto"/>
        <w:right w:val="none" w:sz="0" w:space="0" w:color="auto"/>
      </w:divBdr>
    </w:div>
    <w:div w:id="1852139621">
      <w:bodyDiv w:val="1"/>
      <w:marLeft w:val="0"/>
      <w:marRight w:val="0"/>
      <w:marTop w:val="0"/>
      <w:marBottom w:val="0"/>
      <w:divBdr>
        <w:top w:val="none" w:sz="0" w:space="0" w:color="auto"/>
        <w:left w:val="none" w:sz="0" w:space="0" w:color="auto"/>
        <w:bottom w:val="none" w:sz="0" w:space="0" w:color="auto"/>
        <w:right w:val="none" w:sz="0" w:space="0" w:color="auto"/>
      </w:divBdr>
      <w:divsChild>
        <w:div w:id="1168442741">
          <w:marLeft w:val="0"/>
          <w:marRight w:val="0"/>
          <w:marTop w:val="0"/>
          <w:marBottom w:val="0"/>
          <w:divBdr>
            <w:top w:val="none" w:sz="0" w:space="0" w:color="auto"/>
            <w:left w:val="none" w:sz="0" w:space="0" w:color="auto"/>
            <w:bottom w:val="none" w:sz="0" w:space="0" w:color="auto"/>
            <w:right w:val="none" w:sz="0" w:space="0" w:color="auto"/>
          </w:divBdr>
          <w:divsChild>
            <w:div w:id="660695453">
              <w:marLeft w:val="0"/>
              <w:marRight w:val="0"/>
              <w:marTop w:val="0"/>
              <w:marBottom w:val="0"/>
              <w:divBdr>
                <w:top w:val="none" w:sz="0" w:space="0" w:color="auto"/>
                <w:left w:val="none" w:sz="0" w:space="0" w:color="auto"/>
                <w:bottom w:val="none" w:sz="0" w:space="0" w:color="auto"/>
                <w:right w:val="none" w:sz="0" w:space="0" w:color="auto"/>
              </w:divBdr>
              <w:divsChild>
                <w:div w:id="19035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36872">
      <w:bodyDiv w:val="1"/>
      <w:marLeft w:val="0"/>
      <w:marRight w:val="0"/>
      <w:marTop w:val="0"/>
      <w:marBottom w:val="0"/>
      <w:divBdr>
        <w:top w:val="none" w:sz="0" w:space="0" w:color="auto"/>
        <w:left w:val="none" w:sz="0" w:space="0" w:color="auto"/>
        <w:bottom w:val="none" w:sz="0" w:space="0" w:color="auto"/>
        <w:right w:val="none" w:sz="0" w:space="0" w:color="auto"/>
      </w:divBdr>
    </w:div>
    <w:div w:id="20063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h.gov.au/Parliamentary_Business/Committees/Joint/Electoral_Matters/VotingAge/Advisory_report/section?id=committees%2freportjnt%2f024195%2f26301" TargetMode="Externa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014898-52B6-47F6-833E-B9B7B752AF0B}" type="doc">
      <dgm:prSet loTypeId="urn:microsoft.com/office/officeart/2011/layout/CircleProcess" loCatId="process" qsTypeId="urn:microsoft.com/office/officeart/2005/8/quickstyle/simple1" qsCatId="simple" csTypeId="urn:microsoft.com/office/officeart/2005/8/colors/colorful4" csCatId="colorful" phldr="1"/>
      <dgm:spPr/>
    </dgm:pt>
    <dgm:pt modelId="{765AB77D-3058-4480-A9B3-E97B5B76D120}">
      <dgm:prSet phldrT="[Text]"/>
      <dgm:spPr/>
      <dgm:t>
        <a:bodyPr/>
        <a:lstStyle/>
        <a:p>
          <a:r>
            <a:rPr lang="en-AU"/>
            <a:t>Research and data to establish need, gaps and priorites  </a:t>
          </a:r>
        </a:p>
      </dgm:t>
    </dgm:pt>
    <dgm:pt modelId="{6A538266-B8E8-4768-967D-65873D73F3CD}" type="parTrans" cxnId="{C540D9A1-AF69-4E18-9791-D5442CC29814}">
      <dgm:prSet/>
      <dgm:spPr/>
      <dgm:t>
        <a:bodyPr/>
        <a:lstStyle/>
        <a:p>
          <a:endParaRPr lang="en-AU"/>
        </a:p>
      </dgm:t>
    </dgm:pt>
    <dgm:pt modelId="{486E3DBF-5146-4882-9D35-3EEB698B1677}" type="sibTrans" cxnId="{C540D9A1-AF69-4E18-9791-D5442CC29814}">
      <dgm:prSet/>
      <dgm:spPr/>
      <dgm:t>
        <a:bodyPr/>
        <a:lstStyle/>
        <a:p>
          <a:endParaRPr lang="en-AU"/>
        </a:p>
      </dgm:t>
    </dgm:pt>
    <dgm:pt modelId="{F11D7B24-9649-473E-B559-2E521D1C5E7E}">
      <dgm:prSet phldrT="[Text]"/>
      <dgm:spPr/>
      <dgm:t>
        <a:bodyPr/>
        <a:lstStyle/>
        <a:p>
          <a:r>
            <a:rPr lang="en-AU"/>
            <a:t>Upward mentoring by youth leaders for adults exercising power</a:t>
          </a:r>
        </a:p>
      </dgm:t>
    </dgm:pt>
    <dgm:pt modelId="{96444C57-9C17-413D-AC47-397A13969798}" type="parTrans" cxnId="{2E577D9A-F8F8-40D3-B32A-3E340A023F20}">
      <dgm:prSet/>
      <dgm:spPr/>
      <dgm:t>
        <a:bodyPr/>
        <a:lstStyle/>
        <a:p>
          <a:endParaRPr lang="en-AU"/>
        </a:p>
      </dgm:t>
    </dgm:pt>
    <dgm:pt modelId="{AB08495C-560E-4BDE-8CDD-B5F19BBA17C3}" type="sibTrans" cxnId="{2E577D9A-F8F8-40D3-B32A-3E340A023F20}">
      <dgm:prSet/>
      <dgm:spPr/>
      <dgm:t>
        <a:bodyPr/>
        <a:lstStyle/>
        <a:p>
          <a:endParaRPr lang="en-AU"/>
        </a:p>
      </dgm:t>
    </dgm:pt>
    <dgm:pt modelId="{13CB5B74-A8E0-4EBD-968D-26FEA1622AB4}">
      <dgm:prSet phldrT="[Text]"/>
      <dgm:spPr/>
      <dgm:t>
        <a:bodyPr/>
        <a:lstStyle/>
        <a:p>
          <a:r>
            <a:rPr lang="en-AU"/>
            <a:t>Youth-led co-design of reform options for parliaments and governments</a:t>
          </a:r>
        </a:p>
      </dgm:t>
    </dgm:pt>
    <dgm:pt modelId="{CB4672D1-F40D-471E-A275-8186ACD04967}" type="parTrans" cxnId="{D28CF091-C9E5-44D6-9DD8-EE30C788B96B}">
      <dgm:prSet/>
      <dgm:spPr/>
      <dgm:t>
        <a:bodyPr/>
        <a:lstStyle/>
        <a:p>
          <a:endParaRPr lang="en-AU"/>
        </a:p>
      </dgm:t>
    </dgm:pt>
    <dgm:pt modelId="{28E6B21B-E142-481E-ABFF-DF103ED12E3E}" type="sibTrans" cxnId="{D28CF091-C9E5-44D6-9DD8-EE30C788B96B}">
      <dgm:prSet/>
      <dgm:spPr/>
      <dgm:t>
        <a:bodyPr/>
        <a:lstStyle/>
        <a:p>
          <a:endParaRPr lang="en-AU"/>
        </a:p>
      </dgm:t>
    </dgm:pt>
    <dgm:pt modelId="{AEE7F97F-3D42-4B98-B91E-175FB24CC0AB}">
      <dgm:prSet/>
      <dgm:spPr/>
      <dgm:t>
        <a:bodyPr/>
        <a:lstStyle/>
        <a:p>
          <a:r>
            <a:rPr lang="en-AU"/>
            <a:t>Implemetation of power-shifting strategies within institutions, across all aspects of core business</a:t>
          </a:r>
        </a:p>
      </dgm:t>
    </dgm:pt>
    <dgm:pt modelId="{9D357AA0-809B-4B0E-82F9-B09A8B185257}" type="parTrans" cxnId="{1BDF3306-6B28-426B-B1B5-265D1FE1A1C9}">
      <dgm:prSet/>
      <dgm:spPr/>
      <dgm:t>
        <a:bodyPr/>
        <a:lstStyle/>
        <a:p>
          <a:endParaRPr lang="en-AU"/>
        </a:p>
      </dgm:t>
    </dgm:pt>
    <dgm:pt modelId="{6C205EF9-19A9-461F-BB97-910565D0C889}" type="sibTrans" cxnId="{1BDF3306-6B28-426B-B1B5-265D1FE1A1C9}">
      <dgm:prSet/>
      <dgm:spPr/>
      <dgm:t>
        <a:bodyPr/>
        <a:lstStyle/>
        <a:p>
          <a:endParaRPr lang="en-AU"/>
        </a:p>
      </dgm:t>
    </dgm:pt>
    <dgm:pt modelId="{2D7C0B6E-EA3F-41B7-AEED-7013E90F1E83}">
      <dgm:prSet/>
      <dgm:spPr/>
      <dgm:t>
        <a:bodyPr/>
        <a:lstStyle/>
        <a:p>
          <a:r>
            <a:rPr lang="en-AU"/>
            <a:t>Evaluation of impact and accountability for progress </a:t>
          </a:r>
        </a:p>
      </dgm:t>
    </dgm:pt>
    <dgm:pt modelId="{41173AF9-A280-4FB0-9753-DB08BEE8C8E4}" type="parTrans" cxnId="{6F1D66B7-C453-499E-802A-B5485D7499C2}">
      <dgm:prSet/>
      <dgm:spPr/>
      <dgm:t>
        <a:bodyPr/>
        <a:lstStyle/>
        <a:p>
          <a:endParaRPr lang="en-AU"/>
        </a:p>
      </dgm:t>
    </dgm:pt>
    <dgm:pt modelId="{CB69D7F3-60F2-4341-9002-D8CB9A1B9BA2}" type="sibTrans" cxnId="{6F1D66B7-C453-499E-802A-B5485D7499C2}">
      <dgm:prSet/>
      <dgm:spPr/>
      <dgm:t>
        <a:bodyPr/>
        <a:lstStyle/>
        <a:p>
          <a:endParaRPr lang="en-AU"/>
        </a:p>
      </dgm:t>
    </dgm:pt>
    <dgm:pt modelId="{B5C8E758-9FE4-4989-942D-2B9D327DBE3D}">
      <dgm:prSet/>
      <dgm:spPr/>
      <dgm:t>
        <a:bodyPr/>
        <a:lstStyle/>
        <a:p>
          <a:r>
            <a:rPr lang="en-AU"/>
            <a:t>Broading the scope of what counts as democratic engagement </a:t>
          </a:r>
        </a:p>
      </dgm:t>
    </dgm:pt>
    <dgm:pt modelId="{302BACC9-E53D-44CB-8B4C-C3219366FC64}" type="parTrans" cxnId="{47BC1AAD-ED61-4EB2-A5D8-B086BF9947F0}">
      <dgm:prSet/>
      <dgm:spPr/>
      <dgm:t>
        <a:bodyPr/>
        <a:lstStyle/>
        <a:p>
          <a:endParaRPr lang="en-AU"/>
        </a:p>
      </dgm:t>
    </dgm:pt>
    <dgm:pt modelId="{D45666FD-534C-4F18-8523-AD4A046BE5A4}" type="sibTrans" cxnId="{47BC1AAD-ED61-4EB2-A5D8-B086BF9947F0}">
      <dgm:prSet/>
      <dgm:spPr/>
      <dgm:t>
        <a:bodyPr/>
        <a:lstStyle/>
        <a:p>
          <a:endParaRPr lang="en-AU"/>
        </a:p>
      </dgm:t>
    </dgm:pt>
    <dgm:pt modelId="{38909690-5302-4E77-BC25-74B6D636E5A4}" type="pres">
      <dgm:prSet presAssocID="{09014898-52B6-47F6-833E-B9B7B752AF0B}" presName="Name0" presStyleCnt="0">
        <dgm:presLayoutVars>
          <dgm:chMax val="11"/>
          <dgm:chPref val="11"/>
          <dgm:dir/>
          <dgm:resizeHandles/>
        </dgm:presLayoutVars>
      </dgm:prSet>
      <dgm:spPr/>
    </dgm:pt>
    <dgm:pt modelId="{17BECF21-22EB-4408-A7C7-3402218D489F}" type="pres">
      <dgm:prSet presAssocID="{2D7C0B6E-EA3F-41B7-AEED-7013E90F1E83}" presName="Accent6" presStyleCnt="0"/>
      <dgm:spPr/>
    </dgm:pt>
    <dgm:pt modelId="{165C0513-C587-4166-ABCD-613BDA1CC45E}" type="pres">
      <dgm:prSet presAssocID="{2D7C0B6E-EA3F-41B7-AEED-7013E90F1E83}" presName="Accent" presStyleLbl="node1" presStyleIdx="0" presStyleCnt="6"/>
      <dgm:spPr/>
    </dgm:pt>
    <dgm:pt modelId="{899E3808-E73E-4D7C-B758-22BDD44B59C4}" type="pres">
      <dgm:prSet presAssocID="{2D7C0B6E-EA3F-41B7-AEED-7013E90F1E83}" presName="ParentBackground6" presStyleCnt="0"/>
      <dgm:spPr/>
    </dgm:pt>
    <dgm:pt modelId="{EB5528D6-1F33-424D-9CB9-F1B587C412CB}" type="pres">
      <dgm:prSet presAssocID="{2D7C0B6E-EA3F-41B7-AEED-7013E90F1E83}" presName="ParentBackground" presStyleLbl="fgAcc1" presStyleIdx="0" presStyleCnt="6"/>
      <dgm:spPr/>
    </dgm:pt>
    <dgm:pt modelId="{8DF99D08-8347-41B6-B28F-D6839F7C37B5}" type="pres">
      <dgm:prSet presAssocID="{2D7C0B6E-EA3F-41B7-AEED-7013E90F1E83}" presName="Parent6" presStyleLbl="revTx" presStyleIdx="0" presStyleCnt="0">
        <dgm:presLayoutVars>
          <dgm:chMax val="1"/>
          <dgm:chPref val="1"/>
          <dgm:bulletEnabled val="1"/>
        </dgm:presLayoutVars>
      </dgm:prSet>
      <dgm:spPr/>
    </dgm:pt>
    <dgm:pt modelId="{7BC73FE4-C395-4564-A9B7-1F84F7CDFE4C}" type="pres">
      <dgm:prSet presAssocID="{AEE7F97F-3D42-4B98-B91E-175FB24CC0AB}" presName="Accent5" presStyleCnt="0"/>
      <dgm:spPr/>
    </dgm:pt>
    <dgm:pt modelId="{020FC462-C1AE-4EEE-9199-2B624B4D3D2F}" type="pres">
      <dgm:prSet presAssocID="{AEE7F97F-3D42-4B98-B91E-175FB24CC0AB}" presName="Accent" presStyleLbl="node1" presStyleIdx="1" presStyleCnt="6"/>
      <dgm:spPr/>
    </dgm:pt>
    <dgm:pt modelId="{1100F7F7-7F89-44D7-BAAC-AD5CA9D9E061}" type="pres">
      <dgm:prSet presAssocID="{AEE7F97F-3D42-4B98-B91E-175FB24CC0AB}" presName="ParentBackground5" presStyleCnt="0"/>
      <dgm:spPr/>
    </dgm:pt>
    <dgm:pt modelId="{DB87F16E-DD36-4BB4-B9FD-39F7ACB302DF}" type="pres">
      <dgm:prSet presAssocID="{AEE7F97F-3D42-4B98-B91E-175FB24CC0AB}" presName="ParentBackground" presStyleLbl="fgAcc1" presStyleIdx="1" presStyleCnt="6"/>
      <dgm:spPr/>
    </dgm:pt>
    <dgm:pt modelId="{F1E00843-4804-41CA-9890-95B37812475C}" type="pres">
      <dgm:prSet presAssocID="{AEE7F97F-3D42-4B98-B91E-175FB24CC0AB}" presName="Parent5" presStyleLbl="revTx" presStyleIdx="0" presStyleCnt="0">
        <dgm:presLayoutVars>
          <dgm:chMax val="1"/>
          <dgm:chPref val="1"/>
          <dgm:bulletEnabled val="1"/>
        </dgm:presLayoutVars>
      </dgm:prSet>
      <dgm:spPr/>
    </dgm:pt>
    <dgm:pt modelId="{F9419698-DE27-42D6-BADB-7064440AE3E0}" type="pres">
      <dgm:prSet presAssocID="{13CB5B74-A8E0-4EBD-968D-26FEA1622AB4}" presName="Accent4" presStyleCnt="0"/>
      <dgm:spPr/>
    </dgm:pt>
    <dgm:pt modelId="{B10DBC6C-5986-4892-A057-A8AFA9E25BB6}" type="pres">
      <dgm:prSet presAssocID="{13CB5B74-A8E0-4EBD-968D-26FEA1622AB4}" presName="Accent" presStyleLbl="node1" presStyleIdx="2" presStyleCnt="6"/>
      <dgm:spPr/>
    </dgm:pt>
    <dgm:pt modelId="{1609BD48-C7D6-4BB1-BF69-780FCD479800}" type="pres">
      <dgm:prSet presAssocID="{13CB5B74-A8E0-4EBD-968D-26FEA1622AB4}" presName="ParentBackground4" presStyleCnt="0"/>
      <dgm:spPr/>
    </dgm:pt>
    <dgm:pt modelId="{20996B87-7744-4B82-8AD5-41751F9823D9}" type="pres">
      <dgm:prSet presAssocID="{13CB5B74-A8E0-4EBD-968D-26FEA1622AB4}" presName="ParentBackground" presStyleLbl="fgAcc1" presStyleIdx="2" presStyleCnt="6"/>
      <dgm:spPr/>
    </dgm:pt>
    <dgm:pt modelId="{C9078A87-4670-4376-AFDC-DACDA50A986E}" type="pres">
      <dgm:prSet presAssocID="{13CB5B74-A8E0-4EBD-968D-26FEA1622AB4}" presName="Parent4" presStyleLbl="revTx" presStyleIdx="0" presStyleCnt="0">
        <dgm:presLayoutVars>
          <dgm:chMax val="1"/>
          <dgm:chPref val="1"/>
          <dgm:bulletEnabled val="1"/>
        </dgm:presLayoutVars>
      </dgm:prSet>
      <dgm:spPr/>
    </dgm:pt>
    <dgm:pt modelId="{BC5FC0EF-35A0-4F01-8520-27CB1A2C1FD1}" type="pres">
      <dgm:prSet presAssocID="{F11D7B24-9649-473E-B559-2E521D1C5E7E}" presName="Accent3" presStyleCnt="0"/>
      <dgm:spPr/>
    </dgm:pt>
    <dgm:pt modelId="{B67665B0-4E0C-4EF3-9F22-8F7C0478FC4C}" type="pres">
      <dgm:prSet presAssocID="{F11D7B24-9649-473E-B559-2E521D1C5E7E}" presName="Accent" presStyleLbl="node1" presStyleIdx="3" presStyleCnt="6"/>
      <dgm:spPr/>
    </dgm:pt>
    <dgm:pt modelId="{65449CC0-286E-4D84-8904-66023F2E40B8}" type="pres">
      <dgm:prSet presAssocID="{F11D7B24-9649-473E-B559-2E521D1C5E7E}" presName="ParentBackground3" presStyleCnt="0"/>
      <dgm:spPr/>
    </dgm:pt>
    <dgm:pt modelId="{2FC2D975-FF47-48B4-B2D4-FC858A574513}" type="pres">
      <dgm:prSet presAssocID="{F11D7B24-9649-473E-B559-2E521D1C5E7E}" presName="ParentBackground" presStyleLbl="fgAcc1" presStyleIdx="3" presStyleCnt="6"/>
      <dgm:spPr/>
    </dgm:pt>
    <dgm:pt modelId="{38F285B7-47BC-47EB-AC71-23DD635B134E}" type="pres">
      <dgm:prSet presAssocID="{F11D7B24-9649-473E-B559-2E521D1C5E7E}" presName="Parent3" presStyleLbl="revTx" presStyleIdx="0" presStyleCnt="0">
        <dgm:presLayoutVars>
          <dgm:chMax val="1"/>
          <dgm:chPref val="1"/>
          <dgm:bulletEnabled val="1"/>
        </dgm:presLayoutVars>
      </dgm:prSet>
      <dgm:spPr/>
    </dgm:pt>
    <dgm:pt modelId="{2106EAB6-2825-4F2E-B082-EFC7908EF27E}" type="pres">
      <dgm:prSet presAssocID="{765AB77D-3058-4480-A9B3-E97B5B76D120}" presName="Accent2" presStyleCnt="0"/>
      <dgm:spPr/>
    </dgm:pt>
    <dgm:pt modelId="{8191DFC1-1DC0-41AF-AC7B-501F596966B7}" type="pres">
      <dgm:prSet presAssocID="{765AB77D-3058-4480-A9B3-E97B5B76D120}" presName="Accent" presStyleLbl="node1" presStyleIdx="4" presStyleCnt="6"/>
      <dgm:spPr/>
    </dgm:pt>
    <dgm:pt modelId="{F0EE1D29-8DED-4072-8C81-619047B8661B}" type="pres">
      <dgm:prSet presAssocID="{765AB77D-3058-4480-A9B3-E97B5B76D120}" presName="ParentBackground2" presStyleCnt="0"/>
      <dgm:spPr/>
    </dgm:pt>
    <dgm:pt modelId="{F173B7F2-BFD2-4743-9E4A-7671D41A748A}" type="pres">
      <dgm:prSet presAssocID="{765AB77D-3058-4480-A9B3-E97B5B76D120}" presName="ParentBackground" presStyleLbl="fgAcc1" presStyleIdx="4" presStyleCnt="6"/>
      <dgm:spPr/>
    </dgm:pt>
    <dgm:pt modelId="{D9773B78-2AC9-4313-8672-0533CE0DC9C9}" type="pres">
      <dgm:prSet presAssocID="{765AB77D-3058-4480-A9B3-E97B5B76D120}" presName="Parent2" presStyleLbl="revTx" presStyleIdx="0" presStyleCnt="0">
        <dgm:presLayoutVars>
          <dgm:chMax val="1"/>
          <dgm:chPref val="1"/>
          <dgm:bulletEnabled val="1"/>
        </dgm:presLayoutVars>
      </dgm:prSet>
      <dgm:spPr/>
    </dgm:pt>
    <dgm:pt modelId="{12D75DA0-3BDD-4646-A1D2-3DAB68A4B90E}" type="pres">
      <dgm:prSet presAssocID="{B5C8E758-9FE4-4989-942D-2B9D327DBE3D}" presName="Accent1" presStyleCnt="0"/>
      <dgm:spPr/>
    </dgm:pt>
    <dgm:pt modelId="{B399F690-EE6B-45ED-8A13-0D79C72C318E}" type="pres">
      <dgm:prSet presAssocID="{B5C8E758-9FE4-4989-942D-2B9D327DBE3D}" presName="Accent" presStyleLbl="node1" presStyleIdx="5" presStyleCnt="6"/>
      <dgm:spPr/>
    </dgm:pt>
    <dgm:pt modelId="{96F247BC-EC97-4A01-8FA3-715D52C4FB3E}" type="pres">
      <dgm:prSet presAssocID="{B5C8E758-9FE4-4989-942D-2B9D327DBE3D}" presName="ParentBackground1" presStyleCnt="0"/>
      <dgm:spPr/>
    </dgm:pt>
    <dgm:pt modelId="{2559F315-1D04-4DA0-94E6-759AC16F51A6}" type="pres">
      <dgm:prSet presAssocID="{B5C8E758-9FE4-4989-942D-2B9D327DBE3D}" presName="ParentBackground" presStyleLbl="fgAcc1" presStyleIdx="5" presStyleCnt="6"/>
      <dgm:spPr/>
    </dgm:pt>
    <dgm:pt modelId="{2B250C88-83F3-441A-B464-896FE76B47C1}" type="pres">
      <dgm:prSet presAssocID="{B5C8E758-9FE4-4989-942D-2B9D327DBE3D}" presName="Parent1" presStyleLbl="revTx" presStyleIdx="0" presStyleCnt="0">
        <dgm:presLayoutVars>
          <dgm:chMax val="1"/>
          <dgm:chPref val="1"/>
          <dgm:bulletEnabled val="1"/>
        </dgm:presLayoutVars>
      </dgm:prSet>
      <dgm:spPr/>
    </dgm:pt>
  </dgm:ptLst>
  <dgm:cxnLst>
    <dgm:cxn modelId="{1BDF3306-6B28-426B-B1B5-265D1FE1A1C9}" srcId="{09014898-52B6-47F6-833E-B9B7B752AF0B}" destId="{AEE7F97F-3D42-4B98-B91E-175FB24CC0AB}" srcOrd="4" destOrd="0" parTransId="{9D357AA0-809B-4B0E-82F9-B09A8B185257}" sibTransId="{6C205EF9-19A9-461F-BB97-910565D0C889}"/>
    <dgm:cxn modelId="{C719D70C-7623-4694-BB70-B70A5578FDF2}" type="presOf" srcId="{765AB77D-3058-4480-A9B3-E97B5B76D120}" destId="{D9773B78-2AC9-4313-8672-0533CE0DC9C9}" srcOrd="1" destOrd="0" presId="urn:microsoft.com/office/officeart/2011/layout/CircleProcess"/>
    <dgm:cxn modelId="{4AB44E12-791C-4831-971B-31527674F9AF}" type="presOf" srcId="{09014898-52B6-47F6-833E-B9B7B752AF0B}" destId="{38909690-5302-4E77-BC25-74B6D636E5A4}" srcOrd="0" destOrd="0" presId="urn:microsoft.com/office/officeart/2011/layout/CircleProcess"/>
    <dgm:cxn modelId="{CE4B031E-B52B-4A0B-ACB4-0D6FFA9D0200}" type="presOf" srcId="{13CB5B74-A8E0-4EBD-968D-26FEA1622AB4}" destId="{20996B87-7744-4B82-8AD5-41751F9823D9}" srcOrd="0" destOrd="0" presId="urn:microsoft.com/office/officeart/2011/layout/CircleProcess"/>
    <dgm:cxn modelId="{03E65A2E-7805-43C8-B793-D898C67113B8}" type="presOf" srcId="{B5C8E758-9FE4-4989-942D-2B9D327DBE3D}" destId="{2B250C88-83F3-441A-B464-896FE76B47C1}" srcOrd="1" destOrd="0" presId="urn:microsoft.com/office/officeart/2011/layout/CircleProcess"/>
    <dgm:cxn modelId="{D9A8AD40-3B80-4B35-BC3F-70AA8F8325FA}" type="presOf" srcId="{765AB77D-3058-4480-A9B3-E97B5B76D120}" destId="{F173B7F2-BFD2-4743-9E4A-7671D41A748A}" srcOrd="0" destOrd="0" presId="urn:microsoft.com/office/officeart/2011/layout/CircleProcess"/>
    <dgm:cxn modelId="{C35DB178-7531-420E-A227-5C470D49853B}" type="presOf" srcId="{AEE7F97F-3D42-4B98-B91E-175FB24CC0AB}" destId="{F1E00843-4804-41CA-9890-95B37812475C}" srcOrd="1" destOrd="0" presId="urn:microsoft.com/office/officeart/2011/layout/CircleProcess"/>
    <dgm:cxn modelId="{39408F85-5DF6-46DE-BF7E-7FBA078D9207}" type="presOf" srcId="{13CB5B74-A8E0-4EBD-968D-26FEA1622AB4}" destId="{C9078A87-4670-4376-AFDC-DACDA50A986E}" srcOrd="1" destOrd="0" presId="urn:microsoft.com/office/officeart/2011/layout/CircleProcess"/>
    <dgm:cxn modelId="{D28CF091-C9E5-44D6-9DD8-EE30C788B96B}" srcId="{09014898-52B6-47F6-833E-B9B7B752AF0B}" destId="{13CB5B74-A8E0-4EBD-968D-26FEA1622AB4}" srcOrd="3" destOrd="0" parTransId="{CB4672D1-F40D-471E-A275-8186ACD04967}" sibTransId="{28E6B21B-E142-481E-ABFF-DF103ED12E3E}"/>
    <dgm:cxn modelId="{2E577D9A-F8F8-40D3-B32A-3E340A023F20}" srcId="{09014898-52B6-47F6-833E-B9B7B752AF0B}" destId="{F11D7B24-9649-473E-B559-2E521D1C5E7E}" srcOrd="2" destOrd="0" parTransId="{96444C57-9C17-413D-AC47-397A13969798}" sibTransId="{AB08495C-560E-4BDE-8CDD-B5F19BBA17C3}"/>
    <dgm:cxn modelId="{80AE44A1-BA53-4757-A925-F479AC5AAE0D}" type="presOf" srcId="{F11D7B24-9649-473E-B559-2E521D1C5E7E}" destId="{38F285B7-47BC-47EB-AC71-23DD635B134E}" srcOrd="1" destOrd="0" presId="urn:microsoft.com/office/officeart/2011/layout/CircleProcess"/>
    <dgm:cxn modelId="{C540D9A1-AF69-4E18-9791-D5442CC29814}" srcId="{09014898-52B6-47F6-833E-B9B7B752AF0B}" destId="{765AB77D-3058-4480-A9B3-E97B5B76D120}" srcOrd="1" destOrd="0" parTransId="{6A538266-B8E8-4768-967D-65873D73F3CD}" sibTransId="{486E3DBF-5146-4882-9D35-3EEB698B1677}"/>
    <dgm:cxn modelId="{7C83DFA2-AFAF-456C-8A20-64E0511580D1}" type="presOf" srcId="{F11D7B24-9649-473E-B559-2E521D1C5E7E}" destId="{2FC2D975-FF47-48B4-B2D4-FC858A574513}" srcOrd="0" destOrd="0" presId="urn:microsoft.com/office/officeart/2011/layout/CircleProcess"/>
    <dgm:cxn modelId="{47BC1AAD-ED61-4EB2-A5D8-B086BF9947F0}" srcId="{09014898-52B6-47F6-833E-B9B7B752AF0B}" destId="{B5C8E758-9FE4-4989-942D-2B9D327DBE3D}" srcOrd="0" destOrd="0" parTransId="{302BACC9-E53D-44CB-8B4C-C3219366FC64}" sibTransId="{D45666FD-534C-4F18-8523-AD4A046BE5A4}"/>
    <dgm:cxn modelId="{6F1D66B7-C453-499E-802A-B5485D7499C2}" srcId="{09014898-52B6-47F6-833E-B9B7B752AF0B}" destId="{2D7C0B6E-EA3F-41B7-AEED-7013E90F1E83}" srcOrd="5" destOrd="0" parTransId="{41173AF9-A280-4FB0-9753-DB08BEE8C8E4}" sibTransId="{CB69D7F3-60F2-4341-9002-D8CB9A1B9BA2}"/>
    <dgm:cxn modelId="{1C50CDBD-5DC5-4C14-9AE4-45E7133ECDEC}" type="presOf" srcId="{2D7C0B6E-EA3F-41B7-AEED-7013E90F1E83}" destId="{EB5528D6-1F33-424D-9CB9-F1B587C412CB}" srcOrd="0" destOrd="0" presId="urn:microsoft.com/office/officeart/2011/layout/CircleProcess"/>
    <dgm:cxn modelId="{1BC04FC4-4B1E-4570-A430-8FEB4DD3C391}" type="presOf" srcId="{AEE7F97F-3D42-4B98-B91E-175FB24CC0AB}" destId="{DB87F16E-DD36-4BB4-B9FD-39F7ACB302DF}" srcOrd="0" destOrd="0" presId="urn:microsoft.com/office/officeart/2011/layout/CircleProcess"/>
    <dgm:cxn modelId="{5BDD35D4-9F67-4C7F-81AB-172E356D611F}" type="presOf" srcId="{B5C8E758-9FE4-4989-942D-2B9D327DBE3D}" destId="{2559F315-1D04-4DA0-94E6-759AC16F51A6}" srcOrd="0" destOrd="0" presId="urn:microsoft.com/office/officeart/2011/layout/CircleProcess"/>
    <dgm:cxn modelId="{0B4514DB-93F0-476F-9A38-73F5E0326D05}" type="presOf" srcId="{2D7C0B6E-EA3F-41B7-AEED-7013E90F1E83}" destId="{8DF99D08-8347-41B6-B28F-D6839F7C37B5}" srcOrd="1" destOrd="0" presId="urn:microsoft.com/office/officeart/2011/layout/CircleProcess"/>
    <dgm:cxn modelId="{9218834E-67D8-495B-8085-1E8AD018C4EF}" type="presParOf" srcId="{38909690-5302-4E77-BC25-74B6D636E5A4}" destId="{17BECF21-22EB-4408-A7C7-3402218D489F}" srcOrd="0" destOrd="0" presId="urn:microsoft.com/office/officeart/2011/layout/CircleProcess"/>
    <dgm:cxn modelId="{EC665A91-2714-47AF-BED2-174763A16891}" type="presParOf" srcId="{17BECF21-22EB-4408-A7C7-3402218D489F}" destId="{165C0513-C587-4166-ABCD-613BDA1CC45E}" srcOrd="0" destOrd="0" presId="urn:microsoft.com/office/officeart/2011/layout/CircleProcess"/>
    <dgm:cxn modelId="{A267E086-756D-41A5-97A0-2778F4BDA827}" type="presParOf" srcId="{38909690-5302-4E77-BC25-74B6D636E5A4}" destId="{899E3808-E73E-4D7C-B758-22BDD44B59C4}" srcOrd="1" destOrd="0" presId="urn:microsoft.com/office/officeart/2011/layout/CircleProcess"/>
    <dgm:cxn modelId="{FCABA3C0-C16E-4E96-8F3E-2D7D80E1DCB0}" type="presParOf" srcId="{899E3808-E73E-4D7C-B758-22BDD44B59C4}" destId="{EB5528D6-1F33-424D-9CB9-F1B587C412CB}" srcOrd="0" destOrd="0" presId="urn:microsoft.com/office/officeart/2011/layout/CircleProcess"/>
    <dgm:cxn modelId="{69915AD4-C25C-4DF5-BC09-D2554AA17045}" type="presParOf" srcId="{38909690-5302-4E77-BC25-74B6D636E5A4}" destId="{8DF99D08-8347-41B6-B28F-D6839F7C37B5}" srcOrd="2" destOrd="0" presId="urn:microsoft.com/office/officeart/2011/layout/CircleProcess"/>
    <dgm:cxn modelId="{9909AD8B-36E6-4AA0-B530-B8A58FA67C35}" type="presParOf" srcId="{38909690-5302-4E77-BC25-74B6D636E5A4}" destId="{7BC73FE4-C395-4564-A9B7-1F84F7CDFE4C}" srcOrd="3" destOrd="0" presId="urn:microsoft.com/office/officeart/2011/layout/CircleProcess"/>
    <dgm:cxn modelId="{BE03E9F7-3EB8-41B0-96D1-BF56ADD63C35}" type="presParOf" srcId="{7BC73FE4-C395-4564-A9B7-1F84F7CDFE4C}" destId="{020FC462-C1AE-4EEE-9199-2B624B4D3D2F}" srcOrd="0" destOrd="0" presId="urn:microsoft.com/office/officeart/2011/layout/CircleProcess"/>
    <dgm:cxn modelId="{B105F923-FD8B-4C3C-B210-130D8AB6620B}" type="presParOf" srcId="{38909690-5302-4E77-BC25-74B6D636E5A4}" destId="{1100F7F7-7F89-44D7-BAAC-AD5CA9D9E061}" srcOrd="4" destOrd="0" presId="urn:microsoft.com/office/officeart/2011/layout/CircleProcess"/>
    <dgm:cxn modelId="{6306420C-5E2F-4CA2-B93E-A47550D83090}" type="presParOf" srcId="{1100F7F7-7F89-44D7-BAAC-AD5CA9D9E061}" destId="{DB87F16E-DD36-4BB4-B9FD-39F7ACB302DF}" srcOrd="0" destOrd="0" presId="urn:microsoft.com/office/officeart/2011/layout/CircleProcess"/>
    <dgm:cxn modelId="{804816BC-7703-4F30-96CD-D3BA11C0C89A}" type="presParOf" srcId="{38909690-5302-4E77-BC25-74B6D636E5A4}" destId="{F1E00843-4804-41CA-9890-95B37812475C}" srcOrd="5" destOrd="0" presId="urn:microsoft.com/office/officeart/2011/layout/CircleProcess"/>
    <dgm:cxn modelId="{773B30D5-C309-40C3-A1AD-2119EE1537B4}" type="presParOf" srcId="{38909690-5302-4E77-BC25-74B6D636E5A4}" destId="{F9419698-DE27-42D6-BADB-7064440AE3E0}" srcOrd="6" destOrd="0" presId="urn:microsoft.com/office/officeart/2011/layout/CircleProcess"/>
    <dgm:cxn modelId="{E1365B8E-9FB5-44A4-986C-8560ADCB3194}" type="presParOf" srcId="{F9419698-DE27-42D6-BADB-7064440AE3E0}" destId="{B10DBC6C-5986-4892-A057-A8AFA9E25BB6}" srcOrd="0" destOrd="0" presId="urn:microsoft.com/office/officeart/2011/layout/CircleProcess"/>
    <dgm:cxn modelId="{85363D09-179A-4EF1-ACD8-79984ABE1B3E}" type="presParOf" srcId="{38909690-5302-4E77-BC25-74B6D636E5A4}" destId="{1609BD48-C7D6-4BB1-BF69-780FCD479800}" srcOrd="7" destOrd="0" presId="urn:microsoft.com/office/officeart/2011/layout/CircleProcess"/>
    <dgm:cxn modelId="{DBC8F875-1222-43FD-A15A-B2594E1BEE39}" type="presParOf" srcId="{1609BD48-C7D6-4BB1-BF69-780FCD479800}" destId="{20996B87-7744-4B82-8AD5-41751F9823D9}" srcOrd="0" destOrd="0" presId="urn:microsoft.com/office/officeart/2011/layout/CircleProcess"/>
    <dgm:cxn modelId="{F9029364-7E58-45B8-AB18-8A1A78A1F022}" type="presParOf" srcId="{38909690-5302-4E77-BC25-74B6D636E5A4}" destId="{C9078A87-4670-4376-AFDC-DACDA50A986E}" srcOrd="8" destOrd="0" presId="urn:microsoft.com/office/officeart/2011/layout/CircleProcess"/>
    <dgm:cxn modelId="{0C56EC5E-FC47-499E-8A48-91A65DC9A187}" type="presParOf" srcId="{38909690-5302-4E77-BC25-74B6D636E5A4}" destId="{BC5FC0EF-35A0-4F01-8520-27CB1A2C1FD1}" srcOrd="9" destOrd="0" presId="urn:microsoft.com/office/officeart/2011/layout/CircleProcess"/>
    <dgm:cxn modelId="{BD2BC7F9-1E96-4296-B72F-6A1098E26D76}" type="presParOf" srcId="{BC5FC0EF-35A0-4F01-8520-27CB1A2C1FD1}" destId="{B67665B0-4E0C-4EF3-9F22-8F7C0478FC4C}" srcOrd="0" destOrd="0" presId="urn:microsoft.com/office/officeart/2011/layout/CircleProcess"/>
    <dgm:cxn modelId="{8F140675-5C98-455C-958E-4C09630E1905}" type="presParOf" srcId="{38909690-5302-4E77-BC25-74B6D636E5A4}" destId="{65449CC0-286E-4D84-8904-66023F2E40B8}" srcOrd="10" destOrd="0" presId="urn:microsoft.com/office/officeart/2011/layout/CircleProcess"/>
    <dgm:cxn modelId="{95C58805-C6AF-45D1-9BC8-840EF5DE990F}" type="presParOf" srcId="{65449CC0-286E-4D84-8904-66023F2E40B8}" destId="{2FC2D975-FF47-48B4-B2D4-FC858A574513}" srcOrd="0" destOrd="0" presId="urn:microsoft.com/office/officeart/2011/layout/CircleProcess"/>
    <dgm:cxn modelId="{16F3BEEF-8E52-4ED2-AF13-847A73EAE341}" type="presParOf" srcId="{38909690-5302-4E77-BC25-74B6D636E5A4}" destId="{38F285B7-47BC-47EB-AC71-23DD635B134E}" srcOrd="11" destOrd="0" presId="urn:microsoft.com/office/officeart/2011/layout/CircleProcess"/>
    <dgm:cxn modelId="{CEC566FC-D656-4007-8311-E26238D777E2}" type="presParOf" srcId="{38909690-5302-4E77-BC25-74B6D636E5A4}" destId="{2106EAB6-2825-4F2E-B082-EFC7908EF27E}" srcOrd="12" destOrd="0" presId="urn:microsoft.com/office/officeart/2011/layout/CircleProcess"/>
    <dgm:cxn modelId="{DF278C79-500A-4BE3-A37F-89A8FB65389E}" type="presParOf" srcId="{2106EAB6-2825-4F2E-B082-EFC7908EF27E}" destId="{8191DFC1-1DC0-41AF-AC7B-501F596966B7}" srcOrd="0" destOrd="0" presId="urn:microsoft.com/office/officeart/2011/layout/CircleProcess"/>
    <dgm:cxn modelId="{97910781-C29F-4B00-AE2F-B6F01E3D1529}" type="presParOf" srcId="{38909690-5302-4E77-BC25-74B6D636E5A4}" destId="{F0EE1D29-8DED-4072-8C81-619047B8661B}" srcOrd="13" destOrd="0" presId="urn:microsoft.com/office/officeart/2011/layout/CircleProcess"/>
    <dgm:cxn modelId="{89A6AA99-90E4-45DB-8C20-8086B55FA40D}" type="presParOf" srcId="{F0EE1D29-8DED-4072-8C81-619047B8661B}" destId="{F173B7F2-BFD2-4743-9E4A-7671D41A748A}" srcOrd="0" destOrd="0" presId="urn:microsoft.com/office/officeart/2011/layout/CircleProcess"/>
    <dgm:cxn modelId="{BF8868E6-188F-4902-A4ED-2D9ABFB1F97E}" type="presParOf" srcId="{38909690-5302-4E77-BC25-74B6D636E5A4}" destId="{D9773B78-2AC9-4313-8672-0533CE0DC9C9}" srcOrd="14" destOrd="0" presId="urn:microsoft.com/office/officeart/2011/layout/CircleProcess"/>
    <dgm:cxn modelId="{99B1E98D-B679-46BF-8EC8-37C8894E29F0}" type="presParOf" srcId="{38909690-5302-4E77-BC25-74B6D636E5A4}" destId="{12D75DA0-3BDD-4646-A1D2-3DAB68A4B90E}" srcOrd="15" destOrd="0" presId="urn:microsoft.com/office/officeart/2011/layout/CircleProcess"/>
    <dgm:cxn modelId="{098E7ED8-442A-429E-A20F-71DABBBF8962}" type="presParOf" srcId="{12D75DA0-3BDD-4646-A1D2-3DAB68A4B90E}" destId="{B399F690-EE6B-45ED-8A13-0D79C72C318E}" srcOrd="0" destOrd="0" presId="urn:microsoft.com/office/officeart/2011/layout/CircleProcess"/>
    <dgm:cxn modelId="{0F2C68F7-3F27-4A7D-B511-17A42B3FB937}" type="presParOf" srcId="{38909690-5302-4E77-BC25-74B6D636E5A4}" destId="{96F247BC-EC97-4A01-8FA3-715D52C4FB3E}" srcOrd="16" destOrd="0" presId="urn:microsoft.com/office/officeart/2011/layout/CircleProcess"/>
    <dgm:cxn modelId="{8901ACD3-CC3A-4B41-8366-BBD60D8518CF}" type="presParOf" srcId="{96F247BC-EC97-4A01-8FA3-715D52C4FB3E}" destId="{2559F315-1D04-4DA0-94E6-759AC16F51A6}" srcOrd="0" destOrd="0" presId="urn:microsoft.com/office/officeart/2011/layout/CircleProcess"/>
    <dgm:cxn modelId="{A1DC558A-569D-495E-86F2-2513BD0DEDAF}" type="presParOf" srcId="{38909690-5302-4E77-BC25-74B6D636E5A4}" destId="{2B250C88-83F3-441A-B464-896FE76B47C1}" srcOrd="17" destOrd="0" presId="urn:microsoft.com/office/officeart/2011/layout/Circle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5C0513-C587-4166-ABCD-613BDA1CC45E}">
      <dsp:nvSpPr>
        <dsp:cNvPr id="0" name=""/>
        <dsp:cNvSpPr/>
      </dsp:nvSpPr>
      <dsp:spPr>
        <a:xfrm>
          <a:off x="4872566" y="344572"/>
          <a:ext cx="906783" cy="90661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528D6-1F33-424D-9CB9-F1B587C412CB}">
      <dsp:nvSpPr>
        <dsp:cNvPr id="0" name=""/>
        <dsp:cNvSpPr/>
      </dsp:nvSpPr>
      <dsp:spPr>
        <a:xfrm>
          <a:off x="4903100" y="374798"/>
          <a:ext cx="846292" cy="846159"/>
        </a:xfrm>
        <a:prstGeom prst="ellipse">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Evaluation of impact and accountability for progress </a:t>
          </a:r>
        </a:p>
      </dsp:txBody>
      <dsp:txXfrm>
        <a:off x="5024081" y="495700"/>
        <a:ext cx="604330" cy="604354"/>
      </dsp:txXfrm>
    </dsp:sp>
    <dsp:sp modelId="{020FC462-C1AE-4EEE-9199-2B624B4D3D2F}">
      <dsp:nvSpPr>
        <dsp:cNvPr id="0" name=""/>
        <dsp:cNvSpPr/>
      </dsp:nvSpPr>
      <dsp:spPr>
        <a:xfrm rot="2700000">
          <a:off x="3935890" y="344470"/>
          <a:ext cx="906655" cy="906655"/>
        </a:xfrm>
        <a:prstGeom prst="teardrop">
          <a:avLst>
            <a:gd name="adj" fmla="val 100000"/>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87F16E-DD36-4BB4-B9FD-39F7ACB302DF}">
      <dsp:nvSpPr>
        <dsp:cNvPr id="0" name=""/>
        <dsp:cNvSpPr/>
      </dsp:nvSpPr>
      <dsp:spPr>
        <a:xfrm>
          <a:off x="3966359" y="374798"/>
          <a:ext cx="846292" cy="846159"/>
        </a:xfrm>
        <a:prstGeom prst="ellipse">
          <a:avLst/>
        </a:prstGeom>
        <a:solidFill>
          <a:schemeClr val="lt1">
            <a:alpha val="90000"/>
            <a:hueOff val="0"/>
            <a:satOff val="0"/>
            <a:lumOff val="0"/>
            <a:alphaOff val="0"/>
          </a:schemeClr>
        </a:solidFill>
        <a:ln w="12700" cap="flat" cmpd="sng" algn="ctr">
          <a:solidFill>
            <a:schemeClr val="accent4">
              <a:hueOff val="1960178"/>
              <a:satOff val="-8155"/>
              <a:lumOff val="1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Implemetation of power-shifting strategies within institutions, across all aspects of core business</a:t>
          </a:r>
        </a:p>
      </dsp:txBody>
      <dsp:txXfrm>
        <a:off x="4087340" y="495700"/>
        <a:ext cx="604330" cy="604354"/>
      </dsp:txXfrm>
    </dsp:sp>
    <dsp:sp modelId="{B10DBC6C-5986-4892-A057-A8AFA9E25BB6}">
      <dsp:nvSpPr>
        <dsp:cNvPr id="0" name=""/>
        <dsp:cNvSpPr/>
      </dsp:nvSpPr>
      <dsp:spPr>
        <a:xfrm rot="2700000">
          <a:off x="2999149" y="344470"/>
          <a:ext cx="906655" cy="906655"/>
        </a:xfrm>
        <a:prstGeom prst="teardrop">
          <a:avLst>
            <a:gd name="adj" fmla="val 100000"/>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996B87-7744-4B82-8AD5-41751F9823D9}">
      <dsp:nvSpPr>
        <dsp:cNvPr id="0" name=""/>
        <dsp:cNvSpPr/>
      </dsp:nvSpPr>
      <dsp:spPr>
        <a:xfrm>
          <a:off x="3029618" y="374798"/>
          <a:ext cx="846292" cy="846159"/>
        </a:xfrm>
        <a:prstGeom prst="ellipse">
          <a:avLst/>
        </a:prstGeom>
        <a:solidFill>
          <a:schemeClr val="lt1">
            <a:alpha val="90000"/>
            <a:hueOff val="0"/>
            <a:satOff val="0"/>
            <a:lumOff val="0"/>
            <a:alphaOff val="0"/>
          </a:schemeClr>
        </a:solidFill>
        <a:ln w="12700" cap="flat" cmpd="sng" algn="ctr">
          <a:solidFill>
            <a:schemeClr val="accent4">
              <a:hueOff val="3920356"/>
              <a:satOff val="-16311"/>
              <a:lumOff val="3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Youth-led co-design of reform options for parliaments and governments</a:t>
          </a:r>
        </a:p>
      </dsp:txBody>
      <dsp:txXfrm>
        <a:off x="3150600" y="495700"/>
        <a:ext cx="604330" cy="604354"/>
      </dsp:txXfrm>
    </dsp:sp>
    <dsp:sp modelId="{B67665B0-4E0C-4EF3-9F22-8F7C0478FC4C}">
      <dsp:nvSpPr>
        <dsp:cNvPr id="0" name=""/>
        <dsp:cNvSpPr/>
      </dsp:nvSpPr>
      <dsp:spPr>
        <a:xfrm rot="2700000">
          <a:off x="2062408" y="344470"/>
          <a:ext cx="906655" cy="906655"/>
        </a:xfrm>
        <a:prstGeom prst="teardrop">
          <a:avLst>
            <a:gd name="adj" fmla="val 100000"/>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C2D975-FF47-48B4-B2D4-FC858A574513}">
      <dsp:nvSpPr>
        <dsp:cNvPr id="0" name=""/>
        <dsp:cNvSpPr/>
      </dsp:nvSpPr>
      <dsp:spPr>
        <a:xfrm>
          <a:off x="2092878" y="374798"/>
          <a:ext cx="846292" cy="846159"/>
        </a:xfrm>
        <a:prstGeom prst="ellipse">
          <a:avLst/>
        </a:prstGeom>
        <a:solidFill>
          <a:schemeClr val="lt1">
            <a:alpha val="90000"/>
            <a:hueOff val="0"/>
            <a:satOff val="0"/>
            <a:lumOff val="0"/>
            <a:alphaOff val="0"/>
          </a:schemeClr>
        </a:solidFill>
        <a:ln w="12700" cap="flat" cmpd="sng" algn="ctr">
          <a:solidFill>
            <a:schemeClr val="accent4">
              <a:hueOff val="5880535"/>
              <a:satOff val="-24466"/>
              <a:lumOff val="5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Upward mentoring by youth leaders for adults exercising power</a:t>
          </a:r>
        </a:p>
      </dsp:txBody>
      <dsp:txXfrm>
        <a:off x="2213283" y="495700"/>
        <a:ext cx="604330" cy="604354"/>
      </dsp:txXfrm>
    </dsp:sp>
    <dsp:sp modelId="{8191DFC1-1DC0-41AF-AC7B-501F596966B7}">
      <dsp:nvSpPr>
        <dsp:cNvPr id="0" name=""/>
        <dsp:cNvSpPr/>
      </dsp:nvSpPr>
      <dsp:spPr>
        <a:xfrm rot="2700000">
          <a:off x="1125668" y="344470"/>
          <a:ext cx="906655" cy="906655"/>
        </a:xfrm>
        <a:prstGeom prst="teardrop">
          <a:avLst>
            <a:gd name="adj" fmla="val 100000"/>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73B7F2-BFD2-4743-9E4A-7671D41A748A}">
      <dsp:nvSpPr>
        <dsp:cNvPr id="0" name=""/>
        <dsp:cNvSpPr/>
      </dsp:nvSpPr>
      <dsp:spPr>
        <a:xfrm>
          <a:off x="1156137" y="374798"/>
          <a:ext cx="846292" cy="846159"/>
        </a:xfrm>
        <a:prstGeom prst="ellipse">
          <a:avLst/>
        </a:prstGeom>
        <a:solidFill>
          <a:schemeClr val="lt1">
            <a:alpha val="90000"/>
            <a:hueOff val="0"/>
            <a:satOff val="0"/>
            <a:lumOff val="0"/>
            <a:alphaOff val="0"/>
          </a:schemeClr>
        </a:solidFill>
        <a:ln w="12700" cap="flat" cmpd="sng" algn="ctr">
          <a:solidFill>
            <a:schemeClr val="accent4">
              <a:hueOff val="7840713"/>
              <a:satOff val="-32622"/>
              <a:lumOff val="76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Research and data to establish need, gaps and priorites  </a:t>
          </a:r>
        </a:p>
      </dsp:txBody>
      <dsp:txXfrm>
        <a:off x="1276543" y="495700"/>
        <a:ext cx="604330" cy="604354"/>
      </dsp:txXfrm>
    </dsp:sp>
    <dsp:sp modelId="{B399F690-EE6B-45ED-8A13-0D79C72C318E}">
      <dsp:nvSpPr>
        <dsp:cNvPr id="0" name=""/>
        <dsp:cNvSpPr/>
      </dsp:nvSpPr>
      <dsp:spPr>
        <a:xfrm rot="2700000">
          <a:off x="188927" y="344470"/>
          <a:ext cx="906655" cy="906655"/>
        </a:xfrm>
        <a:prstGeom prst="teardrop">
          <a:avLst>
            <a:gd name="adj" fmla="val 10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59F315-1D04-4DA0-94E6-759AC16F51A6}">
      <dsp:nvSpPr>
        <dsp:cNvPr id="0" name=""/>
        <dsp:cNvSpPr/>
      </dsp:nvSpPr>
      <dsp:spPr>
        <a:xfrm>
          <a:off x="218821" y="374798"/>
          <a:ext cx="846292" cy="846159"/>
        </a:xfrm>
        <a:prstGeom prst="ellipse">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AU" sz="600" kern="1200"/>
            <a:t>Broading the scope of what counts as democratic engagement </a:t>
          </a:r>
        </a:p>
      </dsp:txBody>
      <dsp:txXfrm>
        <a:off x="339802" y="495700"/>
        <a:ext cx="604330" cy="604354"/>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34</Pages>
  <Words>17852</Words>
  <Characters>101763</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Moulds</dc:creator>
  <cp:keywords/>
  <dc:description/>
  <cp:lastModifiedBy>Sarah Moulds</cp:lastModifiedBy>
  <cp:revision>33</cp:revision>
  <dcterms:created xsi:type="dcterms:W3CDTF">2024-08-26T07:26:00Z</dcterms:created>
  <dcterms:modified xsi:type="dcterms:W3CDTF">2024-08-26T10:33:00Z</dcterms:modified>
</cp:coreProperties>
</file>