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C66F5" w14:textId="77777777" w:rsidR="00922DB2" w:rsidRPr="00846426" w:rsidRDefault="00922DB2"/>
    <w:p w14:paraId="401EEDD1" w14:textId="3BF338C6" w:rsidR="001F58BB" w:rsidRPr="00846426" w:rsidRDefault="001F58BB" w:rsidP="0058103F">
      <w:pPr>
        <w:pStyle w:val="Heading1"/>
      </w:pPr>
      <w:r w:rsidRPr="00846426">
        <w:t>Follow the (meta-) experts: helping parliamentarians to understand complex research</w:t>
      </w:r>
    </w:p>
    <w:p w14:paraId="1859B6F5" w14:textId="31E7F5EA" w:rsidR="001E2E96" w:rsidRPr="00846426" w:rsidRDefault="001E2E96" w:rsidP="0058103F">
      <w:r w:rsidRPr="00846426">
        <w:t xml:space="preserve">Australasian Study of Parliament Group </w:t>
      </w:r>
      <w:r w:rsidR="00257821" w:rsidRPr="00846426">
        <w:t>Annual Conference 202</w:t>
      </w:r>
      <w:r w:rsidR="000923DF" w:rsidRPr="00846426">
        <w:t>4</w:t>
      </w:r>
    </w:p>
    <w:p w14:paraId="79EC76B1" w14:textId="77777777" w:rsidR="001E2E96" w:rsidRPr="00846426" w:rsidRDefault="001E2E96" w:rsidP="0058103F"/>
    <w:p w14:paraId="1B9E5FDE" w14:textId="791A3464" w:rsidR="0058103F" w:rsidRPr="00846426" w:rsidRDefault="0058103F" w:rsidP="0058103F">
      <w:r w:rsidRPr="00846426">
        <w:t>Luke Buckmaster</w:t>
      </w:r>
      <w:r w:rsidR="00864CA8" w:rsidRPr="00846426">
        <w:t xml:space="preserve"> and </w:t>
      </w:r>
      <w:r w:rsidRPr="00846426">
        <w:t xml:space="preserve">Matthew Thomas </w:t>
      </w:r>
    </w:p>
    <w:p w14:paraId="33FE367B" w14:textId="27C5902E" w:rsidR="0058103F" w:rsidRPr="00846426" w:rsidRDefault="001D071C" w:rsidP="0058103F">
      <w:r w:rsidRPr="00846426">
        <w:t>Australian Parliamentary Library</w:t>
      </w:r>
    </w:p>
    <w:p w14:paraId="36E50E60" w14:textId="77777777" w:rsidR="00CC082F" w:rsidRPr="00846426" w:rsidRDefault="00CC082F" w:rsidP="0058103F"/>
    <w:p w14:paraId="411E351F" w14:textId="5EE51DD5" w:rsidR="005E1A61" w:rsidRPr="00846426" w:rsidRDefault="005E1A61" w:rsidP="00A41791">
      <w:pPr>
        <w:pStyle w:val="Heading2"/>
      </w:pPr>
      <w:r w:rsidRPr="00846426">
        <w:t xml:space="preserve">Introduction </w:t>
      </w:r>
    </w:p>
    <w:p w14:paraId="5691D301" w14:textId="77777777" w:rsidR="00A06012" w:rsidRDefault="00A06012" w:rsidP="00A06012">
      <w:pPr>
        <w:rPr>
          <w:rFonts w:eastAsia="Times New Roman"/>
        </w:rPr>
      </w:pPr>
      <w:r w:rsidRPr="00846426">
        <w:rPr>
          <w:rFonts w:eastAsia="Times New Roman"/>
        </w:rPr>
        <w:t xml:space="preserve">Parliamentarians are </w:t>
      </w:r>
      <w:r>
        <w:rPr>
          <w:rFonts w:eastAsia="Times New Roman"/>
        </w:rPr>
        <w:t xml:space="preserve">increasingly </w:t>
      </w:r>
      <w:r w:rsidRPr="00846426">
        <w:rPr>
          <w:rFonts w:eastAsia="Times New Roman"/>
        </w:rPr>
        <w:t>required to respond to complex matters in areas where they have limited or no technical understanding.</w:t>
      </w:r>
      <w:r>
        <w:rPr>
          <w:rStyle w:val="FootnoteReference"/>
          <w:rFonts w:eastAsia="Times New Roman"/>
        </w:rPr>
        <w:footnoteReference w:id="2"/>
      </w:r>
      <w:r w:rsidRPr="00846426">
        <w:rPr>
          <w:rFonts w:eastAsia="Times New Roman"/>
        </w:rPr>
        <w:t xml:space="preserve"> As such, they are becoming ever more reliant on the advice of experts.</w:t>
      </w:r>
      <w:r w:rsidRPr="00E66BF5">
        <w:rPr>
          <w:rFonts w:eastAsia="Times New Roman"/>
        </w:rPr>
        <w:t xml:space="preserve"> </w:t>
      </w:r>
    </w:p>
    <w:p w14:paraId="69F9943C" w14:textId="77777777" w:rsidR="00A06012" w:rsidRPr="00846426" w:rsidRDefault="00A06012" w:rsidP="00A06012">
      <w:pPr>
        <w:rPr>
          <w:rFonts w:eastAsia="Times New Roman"/>
        </w:rPr>
      </w:pPr>
    </w:p>
    <w:p w14:paraId="26B8AF6B" w14:textId="7A417E32" w:rsidR="00A06012" w:rsidRDefault="00A06012" w:rsidP="00A06012">
      <w:pPr>
        <w:rPr>
          <w:rFonts w:eastAsia="Times New Roman"/>
        </w:rPr>
      </w:pPr>
      <w:r>
        <w:rPr>
          <w:rFonts w:eastAsia="Times New Roman"/>
        </w:rPr>
        <w:t xml:space="preserve">Recent years have seen a growing number of </w:t>
      </w:r>
      <w:r w:rsidRPr="009A3E72">
        <w:rPr>
          <w:rFonts w:eastAsia="Times New Roman"/>
        </w:rPr>
        <w:t xml:space="preserve">studies </w:t>
      </w:r>
      <w:r>
        <w:rPr>
          <w:rFonts w:eastAsia="Times New Roman"/>
        </w:rPr>
        <w:t xml:space="preserve">in the field of expert advice and policy advisory systems for governments. These have included discussion of the impact of technological change, shifting conceptions of expertise, public sector capacity and questions of </w:t>
      </w:r>
      <w:r w:rsidRPr="002E414F">
        <w:rPr>
          <w:rFonts w:eastAsia="Times New Roman"/>
        </w:rPr>
        <w:t>technocracy, democratic control and participation</w:t>
      </w:r>
      <w:r>
        <w:rPr>
          <w:rFonts w:eastAsia="Times New Roman"/>
        </w:rPr>
        <w:t>.</w:t>
      </w:r>
      <w:r>
        <w:rPr>
          <w:rStyle w:val="FootnoteReference"/>
          <w:rFonts w:eastAsia="Times New Roman"/>
        </w:rPr>
        <w:footnoteReference w:id="3"/>
      </w:r>
      <w:r>
        <w:rPr>
          <w:rFonts w:eastAsia="Times New Roman"/>
        </w:rPr>
        <w:t xml:space="preserve"> However, there has been far less consideration of the challenges of complex policy matters and </w:t>
      </w:r>
      <w:r w:rsidR="00D17336">
        <w:rPr>
          <w:rFonts w:eastAsia="Times New Roman"/>
        </w:rPr>
        <w:t xml:space="preserve">the </w:t>
      </w:r>
      <w:r>
        <w:rPr>
          <w:rFonts w:eastAsia="Times New Roman"/>
        </w:rPr>
        <w:t xml:space="preserve">role of expert advice for parliaments. </w:t>
      </w:r>
    </w:p>
    <w:p w14:paraId="162E6BBF" w14:textId="77777777" w:rsidR="00A06012" w:rsidRDefault="00A06012" w:rsidP="00A06012">
      <w:pPr>
        <w:rPr>
          <w:rFonts w:eastAsia="Times New Roman"/>
        </w:rPr>
      </w:pPr>
    </w:p>
    <w:p w14:paraId="0DE849FE" w14:textId="10615197" w:rsidR="00A06012" w:rsidRDefault="00A06012" w:rsidP="00A06012">
      <w:pPr>
        <w:rPr>
          <w:rFonts w:eastAsia="Times New Roman"/>
        </w:rPr>
      </w:pPr>
      <w:r w:rsidRPr="00846426">
        <w:rPr>
          <w:rFonts w:eastAsia="Times New Roman"/>
        </w:rPr>
        <w:t xml:space="preserve">Parliamentarians are not only expected to </w:t>
      </w:r>
      <w:r w:rsidRPr="00A06012">
        <w:rPr>
          <w:rFonts w:eastAsia="Times New Roman"/>
        </w:rPr>
        <w:t>develop, evaluate</w:t>
      </w:r>
      <w:r w:rsidR="00D17336">
        <w:rPr>
          <w:rFonts w:eastAsia="Times New Roman"/>
        </w:rPr>
        <w:t>,</w:t>
      </w:r>
      <w:r w:rsidRPr="00A06012">
        <w:rPr>
          <w:rFonts w:eastAsia="Times New Roman"/>
        </w:rPr>
        <w:t xml:space="preserve"> and vote on legislation covering a wide range of issues but also to hold governments to account</w:t>
      </w:r>
      <w:r w:rsidR="00163014">
        <w:rPr>
          <w:rFonts w:eastAsia="Times New Roman"/>
        </w:rPr>
        <w:t xml:space="preserve"> and </w:t>
      </w:r>
      <w:r w:rsidR="00FD4710">
        <w:rPr>
          <w:rFonts w:eastAsia="Times New Roman"/>
        </w:rPr>
        <w:t>represent const</w:t>
      </w:r>
      <w:r w:rsidR="00DF33AB">
        <w:rPr>
          <w:rFonts w:eastAsia="Times New Roman"/>
        </w:rPr>
        <w:t>it</w:t>
      </w:r>
      <w:r w:rsidR="00FD4710">
        <w:rPr>
          <w:rFonts w:eastAsia="Times New Roman"/>
        </w:rPr>
        <w:t>uents</w:t>
      </w:r>
      <w:r w:rsidRPr="00A06012">
        <w:rPr>
          <w:rFonts w:eastAsia="Times New Roman"/>
        </w:rPr>
        <w:t>.</w:t>
      </w:r>
      <w:r w:rsidR="00497001">
        <w:rPr>
          <w:rStyle w:val="FootnoteReference"/>
          <w:rFonts w:eastAsia="Times New Roman"/>
        </w:rPr>
        <w:footnoteReference w:id="4"/>
      </w:r>
      <w:r w:rsidRPr="00A06012">
        <w:rPr>
          <w:rFonts w:eastAsia="Times New Roman"/>
        </w:rPr>
        <w:t xml:space="preserve"> The performance of these roles requires timely access to authoritative and reliable information.</w:t>
      </w:r>
      <w:r w:rsidRPr="00A06012">
        <w:rPr>
          <w:rStyle w:val="FootnoteReference"/>
          <w:rFonts w:eastAsia="Times New Roman"/>
        </w:rPr>
        <w:footnoteReference w:id="5"/>
      </w:r>
      <w:r w:rsidRPr="00A06012">
        <w:rPr>
          <w:rFonts w:eastAsia="Times New Roman"/>
        </w:rPr>
        <w:t xml:space="preserve"> And, unlike members of the</w:t>
      </w:r>
      <w:r w:rsidRPr="00846426">
        <w:rPr>
          <w:rFonts w:eastAsia="Times New Roman"/>
        </w:rPr>
        <w:t xml:space="preserve"> executive branch, other parliamentarians do not have the </w:t>
      </w:r>
      <w:r>
        <w:rPr>
          <w:rFonts w:eastAsia="Times New Roman"/>
        </w:rPr>
        <w:t>public service</w:t>
      </w:r>
      <w:r w:rsidRPr="00846426">
        <w:rPr>
          <w:rFonts w:eastAsia="Times New Roman"/>
        </w:rPr>
        <w:t xml:space="preserve"> and other expert </w:t>
      </w:r>
      <w:r w:rsidR="002A06CB">
        <w:rPr>
          <w:rFonts w:eastAsia="Times New Roman"/>
        </w:rPr>
        <w:t>government</w:t>
      </w:r>
      <w:r w:rsidR="00B768B8">
        <w:rPr>
          <w:rFonts w:eastAsia="Times New Roman"/>
        </w:rPr>
        <w:t xml:space="preserve"> </w:t>
      </w:r>
      <w:r w:rsidRPr="00846426">
        <w:rPr>
          <w:rFonts w:eastAsia="Times New Roman"/>
        </w:rPr>
        <w:t>bodies at their disposal.</w:t>
      </w:r>
    </w:p>
    <w:p w14:paraId="236B5351" w14:textId="77777777" w:rsidR="00A06012" w:rsidRDefault="00A06012" w:rsidP="00A06012">
      <w:pPr>
        <w:rPr>
          <w:rFonts w:eastAsia="Times New Roman"/>
        </w:rPr>
      </w:pPr>
    </w:p>
    <w:p w14:paraId="67680D2F" w14:textId="4D14F982" w:rsidR="00A06012" w:rsidRPr="00846426" w:rsidRDefault="00A06012" w:rsidP="00A06012">
      <w:pPr>
        <w:rPr>
          <w:rFonts w:eastAsia="Times New Roman"/>
        </w:rPr>
      </w:pPr>
      <w:r>
        <w:rPr>
          <w:rFonts w:eastAsia="Times New Roman"/>
        </w:rPr>
        <w:t xml:space="preserve">In addition to generally not being experts in matters that are being voted on and having to assess a large volume of legislation, parliamentarians are time poor and operate in a highly political environment, balancing competing demands from a variety of actors seeking their support—including constituents, </w:t>
      </w:r>
      <w:r w:rsidR="0014709C">
        <w:rPr>
          <w:rFonts w:eastAsia="Times New Roman"/>
        </w:rPr>
        <w:t xml:space="preserve">interest groups, </w:t>
      </w:r>
      <w:r>
        <w:rPr>
          <w:rFonts w:eastAsia="Times New Roman"/>
        </w:rPr>
        <w:t>colleagues and parties.</w:t>
      </w:r>
    </w:p>
    <w:p w14:paraId="1DCEBE36" w14:textId="77777777" w:rsidR="00A06012" w:rsidRPr="00846426" w:rsidRDefault="00A06012" w:rsidP="00A06012">
      <w:pPr>
        <w:rPr>
          <w:rFonts w:eastAsia="Times New Roman"/>
        </w:rPr>
      </w:pPr>
    </w:p>
    <w:p w14:paraId="1F63D3F1" w14:textId="71921A6F" w:rsidR="00A06012" w:rsidRPr="00846426" w:rsidRDefault="00A06012" w:rsidP="00A06012">
      <w:pPr>
        <w:rPr>
          <w:rFonts w:eastAsia="Times New Roman"/>
        </w:rPr>
      </w:pPr>
      <w:r>
        <w:rPr>
          <w:rFonts w:eastAsia="Times New Roman"/>
        </w:rPr>
        <w:lastRenderedPageBreak/>
        <w:t>The challenge of needing to understand highly technical matters</w:t>
      </w:r>
      <w:r w:rsidRPr="00846426">
        <w:rPr>
          <w:rFonts w:eastAsia="Times New Roman"/>
        </w:rPr>
        <w:t xml:space="preserve"> comes at a time when expertise has never been more heavily subject to public questioning and criticism. This is partly due to an increasingly educated public with independent access to vast amounts of information feeling more and more capable of challenging expertise. It is also a result of the public becoming more aware that experts frequently disagree and sometimes make mistakes. The situation is further exacerbated by the proliferation of misinformation and disinformation and what is sometimes called a ‘crisis of expertise’</w:t>
      </w:r>
      <w:r w:rsidR="0015159E" w:rsidRPr="00982483">
        <w:rPr>
          <w:rFonts w:eastAsia="Times New Roman"/>
        </w:rPr>
        <w:t>, ‘the death of expertise’</w:t>
      </w:r>
      <w:r w:rsidRPr="00846426">
        <w:rPr>
          <w:rFonts w:eastAsia="Times New Roman"/>
        </w:rPr>
        <w:t xml:space="preserve"> or a ‘war on expertise’.</w:t>
      </w:r>
      <w:r w:rsidR="00A05B83">
        <w:rPr>
          <w:rStyle w:val="FootnoteReference"/>
          <w:rFonts w:eastAsia="Times New Roman"/>
        </w:rPr>
        <w:footnoteReference w:id="6"/>
      </w:r>
      <w:r w:rsidRPr="00846426">
        <w:rPr>
          <w:rFonts w:eastAsia="Times New Roman"/>
        </w:rPr>
        <w:t xml:space="preserve"> These issues were highlighted during ‘the perfect epistemic storm’ of the COVID-19 pandemic but are also central to parliamentary consideration of many other complex policy problems such as climate change, energy</w:t>
      </w:r>
      <w:r>
        <w:rPr>
          <w:rFonts w:eastAsia="Times New Roman"/>
        </w:rPr>
        <w:t xml:space="preserve"> transition</w:t>
      </w:r>
      <w:r w:rsidRPr="00846426">
        <w:rPr>
          <w:rFonts w:eastAsia="Times New Roman"/>
        </w:rPr>
        <w:t>, artificial intelligence, military technologies, global finance and the prevention of future public health crises.</w:t>
      </w:r>
      <w:r w:rsidRPr="00846426">
        <w:rPr>
          <w:rStyle w:val="FootnoteReference"/>
          <w:rFonts w:eastAsia="Times New Roman"/>
        </w:rPr>
        <w:footnoteReference w:id="7"/>
      </w:r>
      <w:r w:rsidRPr="00846426">
        <w:rPr>
          <w:rFonts w:eastAsia="Times New Roman"/>
        </w:rPr>
        <w:t xml:space="preserve"> </w:t>
      </w:r>
    </w:p>
    <w:p w14:paraId="53C6927A" w14:textId="77777777" w:rsidR="00A06012" w:rsidRPr="00846426" w:rsidRDefault="00A06012" w:rsidP="00A06012">
      <w:pPr>
        <w:rPr>
          <w:rFonts w:eastAsia="Times New Roman"/>
        </w:rPr>
      </w:pPr>
    </w:p>
    <w:p w14:paraId="43A1A91F" w14:textId="7E17585A" w:rsidR="00C90CC1" w:rsidRPr="00846426" w:rsidRDefault="00A06012" w:rsidP="00A06012">
      <w:pPr>
        <w:rPr>
          <w:rFonts w:eastAsia="Times New Roman"/>
        </w:rPr>
      </w:pPr>
      <w:r w:rsidRPr="00846426">
        <w:rPr>
          <w:rFonts w:eastAsia="Times New Roman"/>
        </w:rPr>
        <w:t xml:space="preserve">Given the daunting epistemic gap between experts and non-experts—that is, the inability of non-experts to understand or fully understand specialist technical expertise—how can parliamentarians decide who the relevant experts are and which experts they should be listening to? While policy makers and parliamentarians are often implored to ‘just follow the science’ or ‘just follow the experts’, it is rarely that simple. </w:t>
      </w:r>
    </w:p>
    <w:p w14:paraId="6296F8C6" w14:textId="77777777" w:rsidR="00A06012" w:rsidRPr="00846426" w:rsidRDefault="00A06012" w:rsidP="00A06012">
      <w:pPr>
        <w:rPr>
          <w:rFonts w:eastAsia="Times New Roman"/>
        </w:rPr>
      </w:pPr>
    </w:p>
    <w:p w14:paraId="54D2A350" w14:textId="57116193" w:rsidR="00A06012" w:rsidRPr="00846426" w:rsidRDefault="00A06012" w:rsidP="00A06012">
      <w:pPr>
        <w:rPr>
          <w:rFonts w:eastAsia="Times New Roman"/>
        </w:rPr>
      </w:pPr>
      <w:r w:rsidRPr="00846426">
        <w:rPr>
          <w:rFonts w:eastAsia="Times New Roman"/>
        </w:rPr>
        <w:t xml:space="preserve">In this paper, we present </w:t>
      </w:r>
      <w:proofErr w:type="gramStart"/>
      <w:r w:rsidRPr="00846426">
        <w:rPr>
          <w:rFonts w:eastAsia="Times New Roman"/>
        </w:rPr>
        <w:t>a brief summary</w:t>
      </w:r>
      <w:proofErr w:type="gramEnd"/>
      <w:r w:rsidRPr="00846426">
        <w:rPr>
          <w:rFonts w:eastAsia="Times New Roman"/>
        </w:rPr>
        <w:t xml:space="preserve"> of a classification of expertise that can provide some guidance, and highlight the important role played by </w:t>
      </w:r>
      <w:r w:rsidR="00850B23">
        <w:rPr>
          <w:rFonts w:eastAsia="Times New Roman"/>
        </w:rPr>
        <w:t>‘</w:t>
      </w:r>
      <w:r w:rsidRPr="00846426">
        <w:rPr>
          <w:rFonts w:eastAsia="Times New Roman"/>
        </w:rPr>
        <w:t>meta-expertise</w:t>
      </w:r>
      <w:r w:rsidR="00850B23">
        <w:rPr>
          <w:rFonts w:eastAsia="Times New Roman"/>
        </w:rPr>
        <w:t>’</w:t>
      </w:r>
      <w:r w:rsidRPr="00846426">
        <w:rPr>
          <w:rFonts w:eastAsia="Times New Roman"/>
        </w:rPr>
        <w:t xml:space="preserve"> in helping to address </w:t>
      </w:r>
      <w:r>
        <w:rPr>
          <w:rFonts w:eastAsia="Times New Roman"/>
        </w:rPr>
        <w:t xml:space="preserve">the </w:t>
      </w:r>
      <w:r w:rsidRPr="00846426">
        <w:rPr>
          <w:rFonts w:eastAsia="Times New Roman"/>
        </w:rPr>
        <w:t>problem and meet the needs of parliamentarians.</w:t>
      </w:r>
    </w:p>
    <w:p w14:paraId="7D4056A5" w14:textId="77777777" w:rsidR="00241B11" w:rsidRPr="00846426" w:rsidRDefault="00241B11" w:rsidP="00A41791">
      <w:pPr>
        <w:pStyle w:val="Heading2"/>
      </w:pPr>
      <w:r w:rsidRPr="00846426">
        <w:t>What is expertise?</w:t>
      </w:r>
    </w:p>
    <w:p w14:paraId="0109B197" w14:textId="77777777" w:rsidR="004C2400" w:rsidRDefault="00DC3ABB" w:rsidP="00846426">
      <w:r w:rsidRPr="00846426">
        <w:t>At its most basic</w:t>
      </w:r>
      <w:r w:rsidRPr="00846426">
        <w:rPr>
          <w:rFonts w:eastAsia="Times New Roman"/>
        </w:rPr>
        <w:t xml:space="preserve"> level, expertise </w:t>
      </w:r>
      <w:r>
        <w:rPr>
          <w:rFonts w:eastAsia="Times New Roman"/>
        </w:rPr>
        <w:t>is</w:t>
      </w:r>
      <w:r w:rsidRPr="00846426">
        <w:rPr>
          <w:rFonts w:eastAsia="Times New Roman"/>
        </w:rPr>
        <w:t xml:space="preserve"> the ability to understand and do things that most other people cannot do.</w:t>
      </w:r>
      <w:r>
        <w:rPr>
          <w:rStyle w:val="FootnoteReference"/>
          <w:rFonts w:eastAsia="Times New Roman"/>
        </w:rPr>
        <w:footnoteReference w:id="8"/>
      </w:r>
      <w:r>
        <w:rPr>
          <w:rFonts w:eastAsia="Times New Roman"/>
        </w:rPr>
        <w:t xml:space="preserve"> </w:t>
      </w:r>
      <w:r w:rsidR="00241B11" w:rsidRPr="00846426">
        <w:t xml:space="preserve">A wide range of </w:t>
      </w:r>
      <w:r>
        <w:t>sub-</w:t>
      </w:r>
      <w:r w:rsidR="00241B11" w:rsidRPr="00846426">
        <w:t xml:space="preserve">definitions are based on expertise in specific domains (such as STEM, music, sport, aviation, </w:t>
      </w:r>
      <w:r w:rsidR="00F37A1B" w:rsidRPr="00846426">
        <w:t xml:space="preserve">the </w:t>
      </w:r>
      <w:r w:rsidR="00241B11" w:rsidRPr="00846426">
        <w:t>military</w:t>
      </w:r>
      <w:r w:rsidR="00F37A1B" w:rsidRPr="00846426">
        <w:t xml:space="preserve"> and</w:t>
      </w:r>
      <w:r w:rsidR="00241B11" w:rsidRPr="00846426">
        <w:t xml:space="preserve"> weather forecasting)</w:t>
      </w:r>
      <w:r>
        <w:t xml:space="preserve"> </w:t>
      </w:r>
      <w:r w:rsidR="008E2EB5">
        <w:t xml:space="preserve">and </w:t>
      </w:r>
      <w:r w:rsidR="00D032CD">
        <w:t xml:space="preserve">there is variation in the degree of </w:t>
      </w:r>
      <w:r>
        <w:t xml:space="preserve">emphasis on performance </w:t>
      </w:r>
      <w:r w:rsidR="00A5321E">
        <w:t>or</w:t>
      </w:r>
      <w:r w:rsidR="00BE090E">
        <w:t xml:space="preserve"> knowledge</w:t>
      </w:r>
      <w:r w:rsidR="00241B11" w:rsidRPr="00846426">
        <w:t>.</w:t>
      </w:r>
      <w:r w:rsidR="00241B11" w:rsidRPr="00846426">
        <w:rPr>
          <w:rStyle w:val="FootnoteReference"/>
        </w:rPr>
        <w:footnoteReference w:id="9"/>
      </w:r>
      <w:r w:rsidR="00241B11" w:rsidRPr="00846426">
        <w:t xml:space="preserve"> </w:t>
      </w:r>
    </w:p>
    <w:p w14:paraId="3A2F0864" w14:textId="77777777" w:rsidR="004C2400" w:rsidRDefault="004C2400" w:rsidP="00846426"/>
    <w:p w14:paraId="58073EA7" w14:textId="787AD78E" w:rsidR="00846426" w:rsidRPr="00C47C98" w:rsidRDefault="00846426" w:rsidP="00846426">
      <w:r w:rsidRPr="00C47C98">
        <w:t>Performance-based definitions emphasise reliably superior performance on given task</w:t>
      </w:r>
      <w:r w:rsidR="001321A7">
        <w:t xml:space="preserve">s; these </w:t>
      </w:r>
      <w:r w:rsidR="00C034FC">
        <w:t xml:space="preserve">relate mostly to </w:t>
      </w:r>
      <w:r w:rsidR="00F01B67">
        <w:t xml:space="preserve">skills-based </w:t>
      </w:r>
      <w:r w:rsidR="00CF12E6">
        <w:t xml:space="preserve">activities such as </w:t>
      </w:r>
      <w:r w:rsidR="00731B14">
        <w:t xml:space="preserve">musicianship and </w:t>
      </w:r>
      <w:r w:rsidR="001321A7">
        <w:t xml:space="preserve">are not easily applied to </w:t>
      </w:r>
      <w:r w:rsidRPr="00C47C98">
        <w:t xml:space="preserve">cognitive work in complex domains </w:t>
      </w:r>
      <w:r w:rsidR="00D544D2">
        <w:t xml:space="preserve">where it is not possible to easily </w:t>
      </w:r>
      <w:r w:rsidR="00941971">
        <w:t xml:space="preserve">measure or simulate performance or reduce it to </w:t>
      </w:r>
      <w:r w:rsidR="006B1E5A">
        <w:t>simple tasks.</w:t>
      </w:r>
      <w:r w:rsidRPr="00C47C98">
        <w:t xml:space="preserve"> This describes the context of expertise in policy areas where the environment is highly uncertain, the problem or goals are ill-defined, where there are high stakes, and there are no right or wrong answers (in short, wicked problems). Other definitions stress the possession of knowledge and/or skills that enable more effective behaviours than novices’, such as developing new, superior knowledge.</w:t>
      </w:r>
    </w:p>
    <w:p w14:paraId="0FB8368C" w14:textId="77777777" w:rsidR="00241B11" w:rsidRPr="00846426" w:rsidRDefault="00241B11" w:rsidP="00241B11">
      <w:pPr>
        <w:rPr>
          <w:rFonts w:eastAsia="Times New Roman"/>
        </w:rPr>
      </w:pPr>
    </w:p>
    <w:p w14:paraId="29113FAD" w14:textId="2681EB57" w:rsidR="00241B11" w:rsidRPr="00846426" w:rsidRDefault="00E85A87" w:rsidP="00241B11">
      <w:pPr>
        <w:rPr>
          <w:rFonts w:eastAsia="Times New Roman"/>
        </w:rPr>
      </w:pPr>
      <w:r>
        <w:rPr>
          <w:rFonts w:eastAsia="Times New Roman"/>
        </w:rPr>
        <w:lastRenderedPageBreak/>
        <w:t>E</w:t>
      </w:r>
      <w:r w:rsidR="00DC3ABB">
        <w:rPr>
          <w:rFonts w:eastAsia="Times New Roman"/>
        </w:rPr>
        <w:t xml:space="preserve">xpertise can </w:t>
      </w:r>
      <w:r>
        <w:rPr>
          <w:rFonts w:eastAsia="Times New Roman"/>
        </w:rPr>
        <w:t xml:space="preserve">also </w:t>
      </w:r>
      <w:r w:rsidR="00DC3ABB">
        <w:rPr>
          <w:rFonts w:eastAsia="Times New Roman"/>
        </w:rPr>
        <w:t xml:space="preserve">be understood as either </w:t>
      </w:r>
      <w:r w:rsidR="00241B11" w:rsidRPr="00846426">
        <w:rPr>
          <w:rFonts w:eastAsia="Times New Roman"/>
        </w:rPr>
        <w:t xml:space="preserve">relational </w:t>
      </w:r>
      <w:r w:rsidR="00DC3ABB">
        <w:rPr>
          <w:rFonts w:eastAsia="Times New Roman"/>
        </w:rPr>
        <w:t>or</w:t>
      </w:r>
      <w:r w:rsidR="00DC3ABB" w:rsidRPr="00846426">
        <w:rPr>
          <w:rFonts w:eastAsia="Times New Roman"/>
        </w:rPr>
        <w:t xml:space="preserve"> </w:t>
      </w:r>
      <w:r w:rsidR="00241B11" w:rsidRPr="00846426">
        <w:rPr>
          <w:rFonts w:eastAsia="Times New Roman"/>
        </w:rPr>
        <w:t xml:space="preserve">realist. </w:t>
      </w:r>
      <w:r w:rsidR="00DC3ABB">
        <w:rPr>
          <w:rFonts w:eastAsia="Times New Roman"/>
        </w:rPr>
        <w:t>R</w:t>
      </w:r>
      <w:r w:rsidR="00241B11" w:rsidRPr="00846426">
        <w:rPr>
          <w:rFonts w:eastAsia="Times New Roman"/>
        </w:rPr>
        <w:t xml:space="preserve">elational </w:t>
      </w:r>
      <w:r w:rsidR="00DC3ABB">
        <w:rPr>
          <w:rFonts w:eastAsia="Times New Roman"/>
        </w:rPr>
        <w:t>accounts</w:t>
      </w:r>
      <w:r w:rsidR="00A9391E">
        <w:rPr>
          <w:rFonts w:eastAsia="Times New Roman"/>
        </w:rPr>
        <w:t xml:space="preserve"> </w:t>
      </w:r>
      <w:r w:rsidR="00DC3ABB">
        <w:rPr>
          <w:rFonts w:eastAsia="Times New Roman"/>
        </w:rPr>
        <w:t>view</w:t>
      </w:r>
      <w:r w:rsidR="00241B11" w:rsidRPr="00846426">
        <w:rPr>
          <w:rFonts w:eastAsia="Times New Roman"/>
        </w:rPr>
        <w:t xml:space="preserve"> expertise </w:t>
      </w:r>
      <w:r w:rsidR="00DC3ABB">
        <w:rPr>
          <w:rFonts w:eastAsia="Times New Roman"/>
        </w:rPr>
        <w:t>as</w:t>
      </w:r>
      <w:r w:rsidR="00DC3ABB" w:rsidRPr="00846426">
        <w:rPr>
          <w:rFonts w:eastAsia="Times New Roman"/>
        </w:rPr>
        <w:t xml:space="preserve"> </w:t>
      </w:r>
      <w:r w:rsidR="0009387A" w:rsidRPr="00846426">
        <w:rPr>
          <w:rFonts w:eastAsia="Times New Roman"/>
        </w:rPr>
        <w:t xml:space="preserve">largely </w:t>
      </w:r>
      <w:r w:rsidR="00241B11" w:rsidRPr="00846426">
        <w:rPr>
          <w:rFonts w:eastAsia="Times New Roman"/>
        </w:rPr>
        <w:t xml:space="preserve">a social construct. </w:t>
      </w:r>
      <w:r w:rsidR="00A9391E">
        <w:rPr>
          <w:rFonts w:eastAsia="Times New Roman"/>
        </w:rPr>
        <w:t xml:space="preserve">Here, </w:t>
      </w:r>
      <w:r w:rsidR="00241B11" w:rsidRPr="00846426">
        <w:rPr>
          <w:rFonts w:eastAsia="Times New Roman"/>
        </w:rPr>
        <w:t xml:space="preserve">expertise is a reputational matter, with an expert simply being somebody who is socially recognised and accredited </w:t>
      </w:r>
      <w:r w:rsidR="00A9391E">
        <w:rPr>
          <w:rFonts w:eastAsia="Times New Roman"/>
        </w:rPr>
        <w:t>as such</w:t>
      </w:r>
      <w:r w:rsidR="00241B11" w:rsidRPr="00846426">
        <w:rPr>
          <w:rFonts w:eastAsia="Times New Roman"/>
        </w:rPr>
        <w:t xml:space="preserve">. </w:t>
      </w:r>
      <w:r w:rsidR="00A9391E">
        <w:rPr>
          <w:rFonts w:eastAsia="Times New Roman"/>
        </w:rPr>
        <w:t xml:space="preserve">For instance, </w:t>
      </w:r>
      <w:proofErr w:type="spellStart"/>
      <w:r w:rsidR="00241B11" w:rsidRPr="00846426">
        <w:rPr>
          <w:rFonts w:eastAsia="Times New Roman"/>
        </w:rPr>
        <w:t>Koppl</w:t>
      </w:r>
      <w:proofErr w:type="spellEnd"/>
      <w:r w:rsidR="00A9391E">
        <w:rPr>
          <w:rFonts w:eastAsia="Times New Roman"/>
        </w:rPr>
        <w:t xml:space="preserve"> </w:t>
      </w:r>
      <w:r w:rsidR="00241B11" w:rsidRPr="00846426">
        <w:rPr>
          <w:rFonts w:eastAsia="Times New Roman"/>
        </w:rPr>
        <w:t xml:space="preserve">describes an expert as </w:t>
      </w:r>
      <w:r w:rsidR="00B16027" w:rsidRPr="00846426">
        <w:rPr>
          <w:rFonts w:eastAsia="Times New Roman"/>
        </w:rPr>
        <w:t>“</w:t>
      </w:r>
      <w:r w:rsidR="00241B11" w:rsidRPr="00846426">
        <w:rPr>
          <w:rFonts w:eastAsia="Times New Roman"/>
        </w:rPr>
        <w:t>anyone paid for their opinion … ‘expert’ is a contractual role rather than a subset of persons</w:t>
      </w:r>
      <w:r w:rsidR="00B16027" w:rsidRPr="00846426">
        <w:rPr>
          <w:rFonts w:eastAsia="Times New Roman"/>
        </w:rPr>
        <w:t>”</w:t>
      </w:r>
      <w:r w:rsidR="00241B11" w:rsidRPr="00846426">
        <w:rPr>
          <w:rFonts w:eastAsia="Times New Roman"/>
        </w:rPr>
        <w:t>.</w:t>
      </w:r>
      <w:r w:rsidR="00241B11" w:rsidRPr="00846426">
        <w:rPr>
          <w:rStyle w:val="FootnoteReference"/>
          <w:rFonts w:eastAsia="Times New Roman"/>
        </w:rPr>
        <w:footnoteReference w:id="10"/>
      </w:r>
      <w:r w:rsidR="00241B11" w:rsidRPr="00846426">
        <w:rPr>
          <w:rFonts w:eastAsia="Times New Roman"/>
        </w:rPr>
        <w:t xml:space="preserve"> </w:t>
      </w:r>
    </w:p>
    <w:p w14:paraId="15C486C6" w14:textId="77777777" w:rsidR="00241B11" w:rsidRPr="00846426" w:rsidRDefault="00241B11" w:rsidP="00241B11">
      <w:pPr>
        <w:rPr>
          <w:rFonts w:eastAsia="Times New Roman"/>
        </w:rPr>
      </w:pPr>
    </w:p>
    <w:p w14:paraId="2F7312E0" w14:textId="26E2E88D" w:rsidR="00241B11" w:rsidRPr="00846426" w:rsidRDefault="00241B11" w:rsidP="00241B11">
      <w:pPr>
        <w:rPr>
          <w:rFonts w:eastAsia="Times New Roman"/>
        </w:rPr>
      </w:pPr>
      <w:r w:rsidRPr="00846426">
        <w:rPr>
          <w:rFonts w:eastAsia="Times New Roman"/>
        </w:rPr>
        <w:t>By contrast, a realist approach treats expertise as an objective and tangible phenomenon. While expertise is gained through a social process (people are socialised in a particular domain of study) and is comparative, it is nevertheless something that individuals possess independently of whether other people think they do. A person may not advertise themselves as an expert</w:t>
      </w:r>
      <w:r w:rsidR="009360A9" w:rsidRPr="00846426">
        <w:rPr>
          <w:rFonts w:eastAsia="Times New Roman"/>
        </w:rPr>
        <w:t xml:space="preserve"> </w:t>
      </w:r>
      <w:r w:rsidRPr="00846426">
        <w:rPr>
          <w:rFonts w:eastAsia="Times New Roman"/>
        </w:rPr>
        <w:t>but so long as they have the requisite knowledge or skills, they are to all intents and purposes an expert.</w:t>
      </w:r>
      <w:r w:rsidRPr="00846426">
        <w:rPr>
          <w:rStyle w:val="FootnoteReference"/>
          <w:rFonts w:eastAsia="Times New Roman"/>
        </w:rPr>
        <w:footnoteReference w:id="11"/>
      </w:r>
      <w:r w:rsidRPr="00846426">
        <w:rPr>
          <w:rFonts w:eastAsia="Times New Roman"/>
        </w:rPr>
        <w:t xml:space="preserve"> Expertise is also objective in that it enables people to understand and do things that they could not do before and that people without expertise in the relevant domain cannot do.</w:t>
      </w:r>
    </w:p>
    <w:p w14:paraId="6CA7F703" w14:textId="77777777" w:rsidR="00241B11" w:rsidRPr="00846426" w:rsidRDefault="00241B11" w:rsidP="00241B11">
      <w:pPr>
        <w:rPr>
          <w:rFonts w:eastAsia="Times New Roman"/>
        </w:rPr>
      </w:pPr>
    </w:p>
    <w:p w14:paraId="02BC0D8D" w14:textId="7AF592EA" w:rsidR="00241B11" w:rsidRPr="00846426" w:rsidRDefault="00241B11" w:rsidP="00241B11">
      <w:pPr>
        <w:rPr>
          <w:rFonts w:eastAsia="Times New Roman"/>
        </w:rPr>
      </w:pPr>
      <w:r w:rsidRPr="00846426">
        <w:rPr>
          <w:rFonts w:eastAsia="Times New Roman"/>
        </w:rPr>
        <w:t xml:space="preserve">We argue after sociologists Harry Collins and Robert Evans (among others) that it is necessary to treat expertise as something that is </w:t>
      </w:r>
      <w:r w:rsidR="00A9391E">
        <w:rPr>
          <w:rFonts w:eastAsia="Times New Roman"/>
        </w:rPr>
        <w:t>both</w:t>
      </w:r>
      <w:r w:rsidRPr="00846426">
        <w:rPr>
          <w:rFonts w:eastAsia="Times New Roman"/>
        </w:rPr>
        <w:t xml:space="preserve"> socially constructed </w:t>
      </w:r>
      <w:r w:rsidR="00A9391E">
        <w:rPr>
          <w:rFonts w:eastAsia="Times New Roman"/>
        </w:rPr>
        <w:t>and also</w:t>
      </w:r>
      <w:r w:rsidRPr="00846426">
        <w:rPr>
          <w:rFonts w:eastAsia="Times New Roman"/>
        </w:rPr>
        <w:t xml:space="preserve"> demonstrably real.</w:t>
      </w:r>
      <w:r w:rsidRPr="00846426">
        <w:rPr>
          <w:rStyle w:val="FootnoteReference"/>
          <w:rFonts w:eastAsia="Times New Roman"/>
        </w:rPr>
        <w:footnoteReference w:id="12"/>
      </w:r>
      <w:r w:rsidRPr="00846426">
        <w:rPr>
          <w:rFonts w:eastAsia="Times New Roman"/>
        </w:rPr>
        <w:t xml:space="preserve"> </w:t>
      </w:r>
      <w:r w:rsidR="00A9391E">
        <w:rPr>
          <w:rFonts w:eastAsia="Times New Roman"/>
        </w:rPr>
        <w:t>Th</w:t>
      </w:r>
      <w:r w:rsidRPr="00846426">
        <w:rPr>
          <w:rFonts w:eastAsia="Times New Roman"/>
        </w:rPr>
        <w:t>is is essential if we are to be able to decide who knows what they are talking about and should participate in decision making on technical issues, and thereby deal with what has been described as ‘the political problem of expertise’.</w:t>
      </w:r>
    </w:p>
    <w:p w14:paraId="03609D96" w14:textId="77777777" w:rsidR="00241B11" w:rsidRPr="00846426" w:rsidRDefault="00241B11" w:rsidP="00241B11">
      <w:pPr>
        <w:rPr>
          <w:rFonts w:eastAsia="Times New Roman"/>
        </w:rPr>
      </w:pPr>
    </w:p>
    <w:p w14:paraId="2C8A4249" w14:textId="3A122301" w:rsidR="00241B11" w:rsidRPr="00846426" w:rsidRDefault="00241B11" w:rsidP="00241B11">
      <w:pPr>
        <w:rPr>
          <w:rFonts w:eastAsia="Times New Roman"/>
        </w:rPr>
      </w:pPr>
      <w:r w:rsidRPr="00846426">
        <w:rPr>
          <w:rFonts w:eastAsia="Times New Roman"/>
        </w:rPr>
        <w:t>The political problem of expertise</w:t>
      </w:r>
      <w:r w:rsidR="00B928D3">
        <w:rPr>
          <w:rFonts w:eastAsia="Times New Roman"/>
        </w:rPr>
        <w:t xml:space="preserve"> involves a</w:t>
      </w:r>
      <w:r w:rsidRPr="00846426">
        <w:rPr>
          <w:rFonts w:eastAsia="Times New Roman"/>
        </w:rPr>
        <w:t xml:space="preserve"> tension between expertise as a form of authority that stands in contrast to liberal democratic values and the ideal that people should participate in debates over issues that have impact on their lives. The political problem is often represented in its most extreme form as the choice between technocracy, in which powerful expert bodies impose scientistic modes of thinking on public issues, and technological populism, in which the boundary between the knowledge of the expert and non-expert is dissolved—the radical democratisation of expertise. </w:t>
      </w:r>
    </w:p>
    <w:p w14:paraId="4F1DBD3B" w14:textId="77777777" w:rsidR="00241B11" w:rsidRPr="00846426" w:rsidRDefault="00241B11" w:rsidP="00241B11">
      <w:pPr>
        <w:rPr>
          <w:rFonts w:eastAsia="Times New Roman"/>
        </w:rPr>
      </w:pPr>
    </w:p>
    <w:p w14:paraId="42F15F68" w14:textId="479FE3C8" w:rsidR="00241B11" w:rsidRPr="00846426" w:rsidRDefault="00241B11" w:rsidP="00241B11">
      <w:pPr>
        <w:rPr>
          <w:rFonts w:eastAsia="Times New Roman"/>
        </w:rPr>
      </w:pPr>
      <w:r w:rsidRPr="00846426">
        <w:rPr>
          <w:rFonts w:eastAsia="Times New Roman"/>
        </w:rPr>
        <w:t>Non-experts are free to engage in debates over matters of public policy that concern them. Indeed, it is important that they do so, given that these matters are not solely technical, but also involve values and interests. However, where it comes to the technical aspects, they are typically not able to understand what is being said and who is saying it. In the absence of the ability to evaluate expert knowledge non-experts are reliant on experts and obliged to choose whom to believe. This may be described as the epistemic problem of expertise.</w:t>
      </w:r>
    </w:p>
    <w:p w14:paraId="4F0A0169" w14:textId="1EEF9FC9" w:rsidR="00241B11" w:rsidRPr="00846426" w:rsidRDefault="00241B11" w:rsidP="00A41791">
      <w:pPr>
        <w:pStyle w:val="Heading2"/>
      </w:pPr>
      <w:r w:rsidRPr="00846426">
        <w:t>Who are the relevant experts?</w:t>
      </w:r>
    </w:p>
    <w:p w14:paraId="4DE4EFE9" w14:textId="2CBF36E3" w:rsidR="00241B11" w:rsidRPr="00846426" w:rsidRDefault="00241B11" w:rsidP="00241B11">
      <w:pPr>
        <w:rPr>
          <w:rFonts w:eastAsia="Times New Roman"/>
        </w:rPr>
      </w:pPr>
      <w:r w:rsidRPr="00846426">
        <w:rPr>
          <w:rFonts w:eastAsia="Times New Roman"/>
        </w:rPr>
        <w:t xml:space="preserve">All this indicates the need for a guide to </w:t>
      </w:r>
      <w:r w:rsidR="00545679">
        <w:rPr>
          <w:rFonts w:eastAsia="Times New Roman"/>
        </w:rPr>
        <w:t>help legislators easily identify and assess expertise</w:t>
      </w:r>
      <w:r w:rsidRPr="00846426">
        <w:rPr>
          <w:rFonts w:eastAsia="Times New Roman"/>
        </w:rPr>
        <w:t>:</w:t>
      </w:r>
    </w:p>
    <w:p w14:paraId="62D4A485" w14:textId="77777777" w:rsidR="00241B11" w:rsidRPr="00846426" w:rsidRDefault="00241B11" w:rsidP="00241B11">
      <w:pPr>
        <w:rPr>
          <w:rFonts w:eastAsia="Times New Roman"/>
        </w:rPr>
      </w:pPr>
    </w:p>
    <w:p w14:paraId="12B86B38" w14:textId="77777777" w:rsidR="00241B11" w:rsidRPr="00846426" w:rsidRDefault="00241B11" w:rsidP="00241B11">
      <w:pPr>
        <w:ind w:left="720"/>
        <w:rPr>
          <w:rFonts w:eastAsia="Times New Roman"/>
        </w:rPr>
      </w:pPr>
      <w:r w:rsidRPr="00846426">
        <w:rPr>
          <w:rFonts w:eastAsia="Times New Roman"/>
        </w:rPr>
        <w:t xml:space="preserve">The roles of policy officials and ministers are made more difficult because to benefit from expertise, someone </w:t>
      </w:r>
      <w:proofErr w:type="gramStart"/>
      <w:r w:rsidRPr="00846426">
        <w:rPr>
          <w:rFonts w:eastAsia="Times New Roman"/>
        </w:rPr>
        <w:t>has to</w:t>
      </w:r>
      <w:proofErr w:type="gramEnd"/>
      <w:r w:rsidRPr="00846426">
        <w:rPr>
          <w:rFonts w:eastAsia="Times New Roman"/>
        </w:rPr>
        <w:t xml:space="preserve"> be the arbiter of who the expert is … in the absence of a recognised method for scrutinising expertise the process is far more subjective and can involve the judgements of third parties (who are no more or less expert that the policy professionals or ministers).</w:t>
      </w:r>
      <w:r w:rsidRPr="00846426">
        <w:rPr>
          <w:rStyle w:val="FootnoteReference"/>
          <w:rFonts w:eastAsia="Times New Roman"/>
        </w:rPr>
        <w:footnoteReference w:id="13"/>
      </w:r>
    </w:p>
    <w:p w14:paraId="47F60235" w14:textId="77777777" w:rsidR="00241B11" w:rsidRPr="00846426" w:rsidRDefault="00241B11" w:rsidP="00241B11">
      <w:pPr>
        <w:rPr>
          <w:rFonts w:eastAsia="Times New Roman"/>
        </w:rPr>
      </w:pPr>
    </w:p>
    <w:p w14:paraId="43BF944E" w14:textId="48938AA0" w:rsidR="00241B11" w:rsidRPr="00846426" w:rsidRDefault="00545679" w:rsidP="00241B11">
      <w:pPr>
        <w:rPr>
          <w:rFonts w:eastAsia="Times New Roman"/>
        </w:rPr>
      </w:pPr>
      <w:r>
        <w:rPr>
          <w:rFonts w:eastAsia="Times New Roman"/>
        </w:rPr>
        <w:t>Th</w:t>
      </w:r>
      <w:r w:rsidR="00241B11" w:rsidRPr="00846426">
        <w:rPr>
          <w:rFonts w:eastAsia="Times New Roman"/>
        </w:rPr>
        <w:t>e</w:t>
      </w:r>
      <w:r>
        <w:rPr>
          <w:rFonts w:eastAsia="Times New Roman"/>
        </w:rPr>
        <w:t xml:space="preserve"> most prominent</w:t>
      </w:r>
      <w:r w:rsidR="00241B11" w:rsidRPr="00846426">
        <w:rPr>
          <w:rFonts w:eastAsia="Times New Roman"/>
        </w:rPr>
        <w:t xml:space="preserve"> attempt to create a classification of expertise that can help to deal with the political problem of expertise and the epistemic gap</w:t>
      </w:r>
      <w:r w:rsidR="00B33199">
        <w:rPr>
          <w:rFonts w:eastAsia="Times New Roman"/>
        </w:rPr>
        <w:t xml:space="preserve"> is that of</w:t>
      </w:r>
      <w:r w:rsidR="005D1F37" w:rsidRPr="00846426">
        <w:rPr>
          <w:rFonts w:eastAsia="Times New Roman"/>
        </w:rPr>
        <w:t xml:space="preserve"> Collins and Evans</w:t>
      </w:r>
      <w:r w:rsidR="00B33199">
        <w:rPr>
          <w:rFonts w:eastAsia="Times New Roman"/>
        </w:rPr>
        <w:t>.</w:t>
      </w:r>
      <w:r w:rsidR="00241B11" w:rsidRPr="00846426">
        <w:rPr>
          <w:rStyle w:val="FootnoteReference"/>
          <w:rFonts w:eastAsia="Times New Roman"/>
        </w:rPr>
        <w:footnoteReference w:id="14"/>
      </w:r>
      <w:r w:rsidR="00241B11" w:rsidRPr="00846426">
        <w:rPr>
          <w:rFonts w:eastAsia="Times New Roman"/>
        </w:rPr>
        <w:t xml:space="preserve"> </w:t>
      </w:r>
    </w:p>
    <w:p w14:paraId="27A94124" w14:textId="77777777" w:rsidR="00241B11" w:rsidRPr="00846426" w:rsidRDefault="00241B11" w:rsidP="00241B11">
      <w:pPr>
        <w:rPr>
          <w:rFonts w:eastAsia="Times New Roman"/>
        </w:rPr>
      </w:pPr>
    </w:p>
    <w:p w14:paraId="2334BC86" w14:textId="5492EC87" w:rsidR="00241B11" w:rsidRPr="00846426" w:rsidRDefault="00241B11" w:rsidP="00241B11">
      <w:pPr>
        <w:rPr>
          <w:rFonts w:eastAsia="Times New Roman"/>
        </w:rPr>
      </w:pPr>
      <w:r w:rsidRPr="00846426">
        <w:rPr>
          <w:rFonts w:eastAsia="Times New Roman"/>
        </w:rPr>
        <w:t xml:space="preserve">The classification </w:t>
      </w:r>
      <w:r w:rsidR="004377FA">
        <w:rPr>
          <w:rFonts w:eastAsia="Times New Roman"/>
        </w:rPr>
        <w:t xml:space="preserve">ranks </w:t>
      </w:r>
      <w:r w:rsidR="00C9000A">
        <w:rPr>
          <w:rFonts w:eastAsia="Times New Roman"/>
        </w:rPr>
        <w:t xml:space="preserve">expertise from lower to higher levels and </w:t>
      </w:r>
      <w:r w:rsidRPr="00846426">
        <w:rPr>
          <w:rFonts w:eastAsia="Times New Roman"/>
        </w:rPr>
        <w:t>distinguishes between two main types of expertise, namely, specialist expertise and meta-expertise. As their names imply, specialist expertise relates to technical expertise in specific domains while meta-expertise refers to forms of expertise that are used to judge other expertise.</w:t>
      </w:r>
    </w:p>
    <w:p w14:paraId="39312E3B" w14:textId="77777777" w:rsidR="00241B11" w:rsidRPr="00846426" w:rsidRDefault="00241B11" w:rsidP="00241B11">
      <w:pPr>
        <w:rPr>
          <w:rFonts w:eastAsia="Times New Roman"/>
        </w:rPr>
      </w:pPr>
    </w:p>
    <w:p w14:paraId="2EC76733" w14:textId="77777777" w:rsidR="00241B11" w:rsidRPr="00846426" w:rsidRDefault="00241B11" w:rsidP="00241B11">
      <w:pPr>
        <w:rPr>
          <w:rFonts w:eastAsia="Times New Roman"/>
        </w:rPr>
      </w:pPr>
      <w:r w:rsidRPr="00846426">
        <w:rPr>
          <w:rFonts w:eastAsia="Times New Roman"/>
        </w:rPr>
        <w:t xml:space="preserve">Specialist technical expertise ranges from what Collins and Evans describe as beer-mat knowledge (the sort of knowledge that would allow someone to answer a trivia question on a technical subject) up to contributory expertise (the ability to contribute to a domain of expertise like immunology or computational physics). </w:t>
      </w:r>
    </w:p>
    <w:p w14:paraId="32CEDA3B" w14:textId="77777777" w:rsidR="00241B11" w:rsidRPr="00846426" w:rsidRDefault="00241B11" w:rsidP="00241B11">
      <w:pPr>
        <w:rPr>
          <w:rFonts w:eastAsia="Times New Roman"/>
        </w:rPr>
      </w:pPr>
    </w:p>
    <w:p w14:paraId="4496E6F2" w14:textId="024998B6" w:rsidR="00241B11" w:rsidRPr="00846426" w:rsidRDefault="00241B11" w:rsidP="00241B11">
      <w:pPr>
        <w:rPr>
          <w:rFonts w:eastAsia="Times New Roman"/>
        </w:rPr>
      </w:pPr>
      <w:r w:rsidRPr="00846426">
        <w:rPr>
          <w:rFonts w:eastAsia="Times New Roman"/>
        </w:rPr>
        <w:t xml:space="preserve">At lower levels, specialist expertise involves the learning of facts or fact-like relationships from books or published papers, independent of research conducted in a domain. This is propositional knowledge—knowledge ‘that’—rather than procedural knowledge—knowledge ‘how’. As such, at lower levels, specialist expertise might better be described as levels of knowledge or information. It is limited and does not enable its holders to understand or contribute to the technical part of debates. For this, either contributory expertise or interactional expertise—mastery of the language of a specialist domain but not practical competence—is required. </w:t>
      </w:r>
    </w:p>
    <w:p w14:paraId="6C269FC3" w14:textId="77777777" w:rsidR="00241B11" w:rsidRPr="00846426" w:rsidRDefault="00241B11" w:rsidP="00241B11">
      <w:pPr>
        <w:rPr>
          <w:rFonts w:eastAsia="Times New Roman"/>
        </w:rPr>
      </w:pPr>
    </w:p>
    <w:p w14:paraId="20CBF17B" w14:textId="4639DC8C" w:rsidR="00241B11" w:rsidRPr="00846426" w:rsidRDefault="00241B11" w:rsidP="00241B11">
      <w:pPr>
        <w:rPr>
          <w:rFonts w:eastAsia="Times New Roman"/>
        </w:rPr>
      </w:pPr>
      <w:r w:rsidRPr="00846426">
        <w:rPr>
          <w:rFonts w:eastAsia="Times New Roman"/>
        </w:rPr>
        <w:t>Using Collins and Evans’ classification it is possible to draw a general boundary between lower and higher-level expertise, and to grasp just how few people can understand or participate in decision making on technical issues. In such a situation we have argued that meta-expertise comes into its own as a form of expertise that can enable its practitioners to make more-or-less reasoned judgements about the credibility and relevance of experts</w:t>
      </w:r>
      <w:r w:rsidR="0008668A">
        <w:rPr>
          <w:rFonts w:eastAsia="Times New Roman"/>
        </w:rPr>
        <w:t xml:space="preserve"> </w:t>
      </w:r>
      <w:r w:rsidR="00915F4D">
        <w:rPr>
          <w:rFonts w:eastAsia="Times New Roman"/>
        </w:rPr>
        <w:t xml:space="preserve">as well as assessing the reliability of </w:t>
      </w:r>
      <w:r w:rsidR="0092592C">
        <w:rPr>
          <w:rFonts w:eastAsia="Times New Roman"/>
        </w:rPr>
        <w:t>evidence</w:t>
      </w:r>
      <w:r w:rsidRPr="00846426">
        <w:rPr>
          <w:rFonts w:eastAsia="Times New Roman"/>
        </w:rPr>
        <w:t>.</w:t>
      </w:r>
      <w:r w:rsidRPr="00846426">
        <w:rPr>
          <w:rStyle w:val="FootnoteReference"/>
          <w:rFonts w:eastAsia="Times New Roman"/>
        </w:rPr>
        <w:footnoteReference w:id="15"/>
      </w:r>
      <w:r w:rsidRPr="00846426">
        <w:rPr>
          <w:rFonts w:eastAsia="Times New Roman"/>
        </w:rPr>
        <w:t xml:space="preserve"> Using criteria such as credentials, track record and experience, meta </w:t>
      </w:r>
      <w:r w:rsidRPr="00846426">
        <w:rPr>
          <w:rFonts w:eastAsia="Times New Roman"/>
        </w:rPr>
        <w:lastRenderedPageBreak/>
        <w:t>experts can determine whether people qualify as expert in a given area, and judge between experts.</w:t>
      </w:r>
      <w:r w:rsidR="00641CCF">
        <w:rPr>
          <w:rStyle w:val="FootnoteReference"/>
          <w:rFonts w:eastAsia="Times New Roman"/>
        </w:rPr>
        <w:footnoteReference w:id="16"/>
      </w:r>
      <w:r w:rsidRPr="00846426">
        <w:rPr>
          <w:rFonts w:eastAsia="Times New Roman"/>
        </w:rPr>
        <w:t xml:space="preserve"> </w:t>
      </w:r>
    </w:p>
    <w:p w14:paraId="3E16C309" w14:textId="09D541FC" w:rsidR="00EE73A3" w:rsidRPr="00846426" w:rsidRDefault="00553CC5" w:rsidP="00A41791">
      <w:pPr>
        <w:pStyle w:val="Heading2"/>
      </w:pPr>
      <w:r w:rsidRPr="00846426">
        <w:t>Describing</w:t>
      </w:r>
      <w:r w:rsidR="00EE73A3" w:rsidRPr="00846426">
        <w:t xml:space="preserve"> </w:t>
      </w:r>
      <w:r w:rsidR="0012121C" w:rsidRPr="00846426">
        <w:t>meta-expertise</w:t>
      </w:r>
    </w:p>
    <w:p w14:paraId="7068D0E3" w14:textId="535513EA" w:rsidR="003F18E8" w:rsidRPr="00846426" w:rsidRDefault="00C03F96">
      <w:r w:rsidRPr="00846426">
        <w:t>W</w:t>
      </w:r>
      <w:r w:rsidR="00FB0EBC" w:rsidRPr="00846426">
        <w:t xml:space="preserve">hile </w:t>
      </w:r>
      <w:r w:rsidR="00451296" w:rsidRPr="00846426">
        <w:t xml:space="preserve">the </w:t>
      </w:r>
      <w:r w:rsidR="0026105F" w:rsidRPr="00846426">
        <w:t xml:space="preserve">term </w:t>
      </w:r>
      <w:r w:rsidR="00451296" w:rsidRPr="00846426">
        <w:t xml:space="preserve">meta-expertise has </w:t>
      </w:r>
      <w:r w:rsidR="00915820" w:rsidRPr="00846426">
        <w:t xml:space="preserve">come into </w:t>
      </w:r>
      <w:r w:rsidR="00B73145" w:rsidRPr="00846426">
        <w:t xml:space="preserve">wider </w:t>
      </w:r>
      <w:r w:rsidR="007B415B" w:rsidRPr="00846426">
        <w:t>scholarly</w:t>
      </w:r>
      <w:r w:rsidR="00915820" w:rsidRPr="00846426">
        <w:t xml:space="preserve"> usage only relatively recently,</w:t>
      </w:r>
      <w:r w:rsidR="00C354A3" w:rsidRPr="00846426">
        <w:t xml:space="preserve"> </w:t>
      </w:r>
      <w:r w:rsidR="006D772C" w:rsidRPr="00846426">
        <w:t xml:space="preserve">similar concepts have been used in earlier </w:t>
      </w:r>
      <w:r w:rsidR="007043B8" w:rsidRPr="00846426">
        <w:t xml:space="preserve">discussions about </w:t>
      </w:r>
      <w:r w:rsidR="009A0B7C" w:rsidRPr="00846426">
        <w:t>the</w:t>
      </w:r>
      <w:r w:rsidR="007043B8" w:rsidRPr="00846426">
        <w:t xml:space="preserve"> </w:t>
      </w:r>
      <w:r w:rsidR="008F2652" w:rsidRPr="00846426">
        <w:t xml:space="preserve">role of experts in </w:t>
      </w:r>
      <w:r w:rsidR="007043B8" w:rsidRPr="00846426">
        <w:t>the social distribution of knowledge.</w:t>
      </w:r>
      <w:r w:rsidR="00915820" w:rsidRPr="00846426">
        <w:t xml:space="preserve"> </w:t>
      </w:r>
      <w:r w:rsidR="008F2652" w:rsidRPr="00846426">
        <w:t xml:space="preserve">For example, </w:t>
      </w:r>
      <w:r w:rsidR="00A63A24" w:rsidRPr="00846426">
        <w:t xml:space="preserve">social philosopher Alfred </w:t>
      </w:r>
      <w:r w:rsidR="00FD3768" w:rsidRPr="00846426">
        <w:t>Schutz</w:t>
      </w:r>
      <w:r w:rsidR="00CA45EE" w:rsidRPr="00846426">
        <w:t xml:space="preserve"> saw the </w:t>
      </w:r>
      <w:r w:rsidR="004B0A74" w:rsidRPr="00846426">
        <w:t xml:space="preserve">“reasonably founded opinions” of the </w:t>
      </w:r>
      <w:r w:rsidR="00DA7A53" w:rsidRPr="00846426">
        <w:t xml:space="preserve">“well-informed citizen” </w:t>
      </w:r>
      <w:r w:rsidR="00742D53" w:rsidRPr="00846426">
        <w:t xml:space="preserve">as having an important </w:t>
      </w:r>
      <w:r w:rsidR="00823A8B" w:rsidRPr="00846426">
        <w:t xml:space="preserve">social </w:t>
      </w:r>
      <w:r w:rsidR="00742D53" w:rsidRPr="00846426">
        <w:t xml:space="preserve">role in bridging the gap between </w:t>
      </w:r>
      <w:r w:rsidR="005639FA" w:rsidRPr="00846426">
        <w:t xml:space="preserve">expert </w:t>
      </w:r>
      <w:r w:rsidR="00F32F49" w:rsidRPr="00846426">
        <w:t xml:space="preserve">knowledge </w:t>
      </w:r>
      <w:r w:rsidR="00823A8B" w:rsidRPr="00846426">
        <w:t>and th</w:t>
      </w:r>
      <w:r w:rsidR="00A3030B" w:rsidRPr="00846426">
        <w:t xml:space="preserve">at of the </w:t>
      </w:r>
      <w:r w:rsidR="004017CF" w:rsidRPr="00846426">
        <w:t>person on the street</w:t>
      </w:r>
      <w:r w:rsidR="00D42927" w:rsidRPr="00846426">
        <w:t>.</w:t>
      </w:r>
      <w:r w:rsidR="00E31195" w:rsidRPr="00846426">
        <w:rPr>
          <w:rStyle w:val="FootnoteReference"/>
        </w:rPr>
        <w:footnoteReference w:id="17"/>
      </w:r>
      <w:r w:rsidR="00A63A24" w:rsidRPr="00846426">
        <w:t xml:space="preserve"> </w:t>
      </w:r>
      <w:r w:rsidR="004F1F8D" w:rsidRPr="00846426">
        <w:t>Sociologists</w:t>
      </w:r>
      <w:r w:rsidR="00CC297E" w:rsidRPr="00846426">
        <w:t xml:space="preserve"> </w:t>
      </w:r>
      <w:r w:rsidR="005C0375" w:rsidRPr="00846426">
        <w:t xml:space="preserve">Berger and </w:t>
      </w:r>
      <w:proofErr w:type="spellStart"/>
      <w:r w:rsidR="005C0375" w:rsidRPr="00846426">
        <w:t>Luckmann</w:t>
      </w:r>
      <w:proofErr w:type="spellEnd"/>
      <w:r w:rsidR="005C0375" w:rsidRPr="00846426">
        <w:t xml:space="preserve"> </w:t>
      </w:r>
      <w:r w:rsidR="00497D83" w:rsidRPr="00846426">
        <w:t xml:space="preserve">also highlighted </w:t>
      </w:r>
      <w:r w:rsidR="00A0382C" w:rsidRPr="00846426">
        <w:t>th</w:t>
      </w:r>
      <w:r w:rsidR="00C97244" w:rsidRPr="00846426">
        <w:t>e need for meta-expertise</w:t>
      </w:r>
      <w:r w:rsidR="009F7176" w:rsidRPr="00846426">
        <w:t xml:space="preserve"> </w:t>
      </w:r>
      <w:r w:rsidR="00395687" w:rsidRPr="00846426">
        <w:t>(“experts on experts”</w:t>
      </w:r>
      <w:r w:rsidR="005E0FD3" w:rsidRPr="00846426">
        <w:t>)</w:t>
      </w:r>
      <w:r w:rsidR="00395687" w:rsidRPr="00846426">
        <w:t xml:space="preserve"> </w:t>
      </w:r>
      <w:r w:rsidR="00C06BC0" w:rsidRPr="00846426">
        <w:t xml:space="preserve">in </w:t>
      </w:r>
      <w:r w:rsidR="0058734F" w:rsidRPr="00846426">
        <w:t xml:space="preserve">a society increasingly characterised by </w:t>
      </w:r>
      <w:r w:rsidR="000A7F65" w:rsidRPr="00846426">
        <w:t xml:space="preserve">the </w:t>
      </w:r>
      <w:r w:rsidR="00DA7783" w:rsidRPr="00846426">
        <w:t>gap in</w:t>
      </w:r>
      <w:r w:rsidR="00906FF7" w:rsidRPr="00846426">
        <w:t xml:space="preserve"> </w:t>
      </w:r>
      <w:r w:rsidR="00DA7783" w:rsidRPr="00846426">
        <w:t>understanding between experts and non-experts:</w:t>
      </w:r>
    </w:p>
    <w:p w14:paraId="26A03A52" w14:textId="1F4CDEB5" w:rsidR="00906FF7" w:rsidRPr="00846426" w:rsidRDefault="00906FF7" w:rsidP="00020EED">
      <w:pPr>
        <w:pStyle w:val="Quote"/>
        <w:ind w:left="720"/>
        <w:jc w:val="left"/>
        <w:rPr>
          <w:i w:val="0"/>
          <w:iCs w:val="0"/>
        </w:rPr>
      </w:pPr>
      <w:r w:rsidRPr="00846426">
        <w:rPr>
          <w:i w:val="0"/>
          <w:iCs w:val="0"/>
        </w:rPr>
        <w:t xml:space="preserve">The social distribution of knowledge of certain elements of everyday reality can become highly complex and even confusing to the outsider. I not only do not possess the knowledge supposedly required to cure me of a physical ailment, </w:t>
      </w:r>
      <w:proofErr w:type="gramStart"/>
      <w:r w:rsidRPr="00846426">
        <w:rPr>
          <w:i w:val="0"/>
          <w:iCs w:val="0"/>
        </w:rPr>
        <w:t>I may</w:t>
      </w:r>
      <w:proofErr w:type="gramEnd"/>
      <w:r w:rsidRPr="00846426">
        <w:rPr>
          <w:i w:val="0"/>
          <w:iCs w:val="0"/>
        </w:rPr>
        <w:t xml:space="preserve"> even lack the knowledge of which one of a bewildering variety of medical specialists claims jurisdiction over what ails me.</w:t>
      </w:r>
      <w:r w:rsidRPr="00846426">
        <w:rPr>
          <w:b/>
          <w:bCs/>
          <w:i w:val="0"/>
          <w:iCs w:val="0"/>
        </w:rPr>
        <w:t xml:space="preserve"> </w:t>
      </w:r>
      <w:r w:rsidRPr="00846426">
        <w:rPr>
          <w:i w:val="0"/>
          <w:iCs w:val="0"/>
        </w:rPr>
        <w:t>In such cases, I require not only the advice of experts, but the prior advice of experts on experts. The social distribution of knowledge thus begins with the simple fact that I do not know everything known to my fellowmen, and vice versa, and culminates in exceedingly complex and esoteric systems of expertise. Knowledge of how the socially available stock of knowledge is distributed, at least in outline, is an important element of that same stock of knowledge.</w:t>
      </w:r>
      <w:r w:rsidR="004B081B" w:rsidRPr="00846426">
        <w:rPr>
          <w:rStyle w:val="FootnoteReference"/>
          <w:i w:val="0"/>
          <w:iCs w:val="0"/>
        </w:rPr>
        <w:footnoteReference w:id="18"/>
      </w:r>
    </w:p>
    <w:p w14:paraId="77577D60" w14:textId="77777777" w:rsidR="00FE0288" w:rsidRPr="00846426" w:rsidRDefault="00FE0288" w:rsidP="00FE0288"/>
    <w:p w14:paraId="633D7348" w14:textId="08895B62" w:rsidR="00253EAB" w:rsidRPr="00321505" w:rsidRDefault="00253EAB" w:rsidP="00FE0288">
      <w:r w:rsidRPr="00846426">
        <w:t>Drawing on philosopher, Michel Croce, the ‘better understanding’ possessed by a meta-expert refers to having a “broader, deeper and more significant grip on the relationship between true bodies of information constituting [a subject area] than most people do”.</w:t>
      </w:r>
      <w:r w:rsidRPr="00846426">
        <w:rPr>
          <w:rStyle w:val="FootnoteReference"/>
        </w:rPr>
        <w:footnoteReference w:id="19"/>
      </w:r>
      <w:r w:rsidRPr="00846426">
        <w:t xml:space="preserve"> However, they are not expected to understand specific aspects of a subject area in the same depth as a higher-level expert. This point was well captured by a former head of the Australian Parliamentary Library, who explained that “It is more useful to us to have specialists who can cover an acre or two at a depth of 100 feet rather than a square foot to a depth of 5,000 feet</w:t>
      </w:r>
      <w:r w:rsidRPr="00321505">
        <w:t>”.</w:t>
      </w:r>
      <w:r w:rsidRPr="00321505">
        <w:rPr>
          <w:rStyle w:val="FootnoteReference"/>
        </w:rPr>
        <w:footnoteReference w:id="20"/>
      </w:r>
      <w:r w:rsidR="00F23133" w:rsidRPr="00321505">
        <w:t xml:space="preserve"> </w:t>
      </w:r>
      <w:r w:rsidR="007B24BA" w:rsidRPr="00321505">
        <w:t xml:space="preserve">Or, in the words of a UK </w:t>
      </w:r>
      <w:r w:rsidR="00FF30EB" w:rsidRPr="00321505">
        <w:t>Member of Parliament:</w:t>
      </w:r>
    </w:p>
    <w:p w14:paraId="04F5E3DD" w14:textId="77777777" w:rsidR="00FF30EB" w:rsidRPr="00321505" w:rsidRDefault="00FF30EB" w:rsidP="00FE0288"/>
    <w:p w14:paraId="14C87801" w14:textId="24FB7014" w:rsidR="00FF30EB" w:rsidRDefault="00FF30EB" w:rsidP="00FF30EB">
      <w:pPr>
        <w:ind w:left="720"/>
      </w:pPr>
      <w:r w:rsidRPr="00321505">
        <w:t>Academic research feeds in a very limited capacity because it’s probably too specialised. What [I] need to know, in practical terms, is 80% of the high-level subject and I don’t need to know, or haven’t got the time to know, the other 20%.</w:t>
      </w:r>
      <w:r w:rsidR="005525AD" w:rsidRPr="00321505">
        <w:rPr>
          <w:rStyle w:val="FootnoteReference"/>
        </w:rPr>
        <w:footnoteReference w:id="21"/>
      </w:r>
    </w:p>
    <w:p w14:paraId="086CFB56" w14:textId="77777777" w:rsidR="00865E32" w:rsidRPr="00846426" w:rsidRDefault="00865E32" w:rsidP="00FE0288"/>
    <w:p w14:paraId="1475108D" w14:textId="70324E81" w:rsidR="00B81624" w:rsidRDefault="0032163E" w:rsidP="00A303E0">
      <w:r>
        <w:t>W</w:t>
      </w:r>
      <w:r w:rsidR="00FE0288" w:rsidRPr="00846426">
        <w:t xml:space="preserve">e define meta-expertise as having two main </w:t>
      </w:r>
      <w:r w:rsidR="004D6300" w:rsidRPr="00846426">
        <w:t>attributes</w:t>
      </w:r>
      <w:r w:rsidR="00FE0288" w:rsidRPr="00846426">
        <w:t>: (</w:t>
      </w:r>
      <w:proofErr w:type="spellStart"/>
      <w:r w:rsidR="00FE0288" w:rsidRPr="00846426">
        <w:t>i</w:t>
      </w:r>
      <w:proofErr w:type="spellEnd"/>
      <w:r w:rsidR="00FE0288" w:rsidRPr="00846426">
        <w:t xml:space="preserve">) advanced understanding </w:t>
      </w:r>
      <w:r w:rsidR="00D6538D" w:rsidRPr="00846426">
        <w:t xml:space="preserve">(mastery) </w:t>
      </w:r>
      <w:r w:rsidR="00FE0288" w:rsidRPr="00846426">
        <w:t xml:space="preserve">of a particular </w:t>
      </w:r>
      <w:r w:rsidR="00B406C2" w:rsidRPr="00846426">
        <w:t>subject area</w:t>
      </w:r>
      <w:r w:rsidR="00FE0288" w:rsidRPr="00846426">
        <w:t xml:space="preserve"> and (ii) the ability to assist others in their understanding of that </w:t>
      </w:r>
      <w:r w:rsidR="009062AE" w:rsidRPr="00846426">
        <w:t>subject area</w:t>
      </w:r>
      <w:r w:rsidR="00FE0288" w:rsidRPr="00846426">
        <w:t xml:space="preserve">. </w:t>
      </w:r>
      <w:r w:rsidR="009E4298" w:rsidRPr="00846426">
        <w:t>These should be seen as “ideal types”</w:t>
      </w:r>
      <w:r w:rsidR="00904E1B" w:rsidRPr="00846426">
        <w:t xml:space="preserve">; </w:t>
      </w:r>
      <w:r w:rsidR="004F7627" w:rsidRPr="00846426">
        <w:t xml:space="preserve">attributes a meta-expert should be aiming for. </w:t>
      </w:r>
      <w:r w:rsidR="00FE0288" w:rsidRPr="00846426">
        <w:t>A given meta-expert may be stronger in one of these a</w:t>
      </w:r>
      <w:r w:rsidR="00316BEB" w:rsidRPr="00846426">
        <w:t>ttributes</w:t>
      </w:r>
      <w:r w:rsidR="00FE0288" w:rsidRPr="00846426">
        <w:t xml:space="preserve"> than the other (e.g. they may know a lot about a </w:t>
      </w:r>
      <w:r w:rsidR="008C3051" w:rsidRPr="00846426">
        <w:t>subject area</w:t>
      </w:r>
      <w:r w:rsidR="00FE0288" w:rsidRPr="00846426">
        <w:t xml:space="preserve"> but not be as </w:t>
      </w:r>
      <w:r w:rsidR="00EA4906" w:rsidRPr="00846426">
        <w:t>proficient in</w:t>
      </w:r>
      <w:r w:rsidR="00FE0288" w:rsidRPr="00846426">
        <w:t xml:space="preserve"> communicat</w:t>
      </w:r>
      <w:r w:rsidR="00EA4906" w:rsidRPr="00846426">
        <w:t>ing with non-experts</w:t>
      </w:r>
      <w:r w:rsidR="00FE0288" w:rsidRPr="00846426">
        <w:t xml:space="preserve">) but both aspects are necessary to </w:t>
      </w:r>
      <w:r w:rsidR="00FE0288" w:rsidRPr="00F63025">
        <w:t>the provision</w:t>
      </w:r>
      <w:r w:rsidR="00661E2A" w:rsidRPr="00F63025">
        <w:t xml:space="preserve"> </w:t>
      </w:r>
      <w:r w:rsidR="00FE0288" w:rsidRPr="00F63025">
        <w:t>of meta</w:t>
      </w:r>
      <w:r w:rsidR="00FE0288" w:rsidRPr="00846426">
        <w:t>-expertise.</w:t>
      </w:r>
      <w:r w:rsidR="00041FE4" w:rsidRPr="00846426">
        <w:t xml:space="preserve"> </w:t>
      </w:r>
      <w:r w:rsidR="00C23CA0" w:rsidRPr="00846426">
        <w:t>Further</w:t>
      </w:r>
      <w:r w:rsidR="009F11A8" w:rsidRPr="00846426">
        <w:t xml:space="preserve">, we suggest that </w:t>
      </w:r>
      <w:r w:rsidR="00C23CA0" w:rsidRPr="00846426">
        <w:t xml:space="preserve">meta-expertise should </w:t>
      </w:r>
      <w:r w:rsidR="00545C29" w:rsidRPr="00846426">
        <w:t xml:space="preserve">not </w:t>
      </w:r>
      <w:r w:rsidR="00C23CA0" w:rsidRPr="00846426">
        <w:t xml:space="preserve">be seen </w:t>
      </w:r>
      <w:r w:rsidR="00F9793E" w:rsidRPr="00846426">
        <w:t xml:space="preserve">as necessarily limited to a particular </w:t>
      </w:r>
      <w:r w:rsidR="00A56B71" w:rsidRPr="00846426">
        <w:t xml:space="preserve">‘class’ of meta-experts but rather a role that </w:t>
      </w:r>
      <w:r w:rsidR="00F23E52" w:rsidRPr="00846426">
        <w:t xml:space="preserve">could also be performed by </w:t>
      </w:r>
      <w:r w:rsidR="00523AC8" w:rsidRPr="00846426">
        <w:t xml:space="preserve">‘higher level’ </w:t>
      </w:r>
      <w:r w:rsidR="00532372" w:rsidRPr="00846426">
        <w:t xml:space="preserve">(contributory, interactional) </w:t>
      </w:r>
      <w:r w:rsidR="00523AC8" w:rsidRPr="00846426">
        <w:t xml:space="preserve">experts </w:t>
      </w:r>
      <w:r w:rsidR="00837EE0" w:rsidRPr="00846426">
        <w:t xml:space="preserve">who possess the attributes of subject area mastery </w:t>
      </w:r>
      <w:r w:rsidR="00837EE0" w:rsidRPr="00846426">
        <w:rPr>
          <w:i/>
          <w:iCs/>
        </w:rPr>
        <w:t>and</w:t>
      </w:r>
      <w:r w:rsidR="00837EE0" w:rsidRPr="00846426">
        <w:t xml:space="preserve"> </w:t>
      </w:r>
      <w:r w:rsidR="007810DE" w:rsidRPr="00846426">
        <w:t xml:space="preserve">ability to </w:t>
      </w:r>
      <w:r w:rsidR="00E736A5" w:rsidRPr="00846426">
        <w:t>improve non-expert understanding.</w:t>
      </w:r>
    </w:p>
    <w:p w14:paraId="16FEF319" w14:textId="6A08AF30" w:rsidR="005C1715" w:rsidRPr="00846426" w:rsidRDefault="00764448" w:rsidP="00B81624">
      <w:pPr>
        <w:pStyle w:val="Heading2"/>
      </w:pPr>
      <w:r w:rsidRPr="00846426">
        <w:t>Mastery of a subject area</w:t>
      </w:r>
    </w:p>
    <w:p w14:paraId="55E5F69B" w14:textId="33831924" w:rsidR="005C1715" w:rsidRPr="00846426" w:rsidRDefault="009364B8" w:rsidP="00FF42DA">
      <w:pPr>
        <w:tabs>
          <w:tab w:val="num" w:pos="1440"/>
        </w:tabs>
      </w:pPr>
      <w:r w:rsidRPr="00846426">
        <w:t xml:space="preserve">This aspect of meta-expertise </w:t>
      </w:r>
      <w:r w:rsidR="008C1CC9" w:rsidRPr="00846426">
        <w:t xml:space="preserve">can be understood as the capacity to make </w:t>
      </w:r>
      <w:r w:rsidR="005C1715" w:rsidRPr="00846426">
        <w:t xml:space="preserve">reasoned judgements about </w:t>
      </w:r>
      <w:r w:rsidR="008C1CC9" w:rsidRPr="00846426">
        <w:t xml:space="preserve">the </w:t>
      </w:r>
      <w:r w:rsidR="005C1715" w:rsidRPr="00846426">
        <w:t>credibility and relevance of experts</w:t>
      </w:r>
      <w:r w:rsidR="00FF42DA" w:rsidRPr="00846426">
        <w:t xml:space="preserve"> in a particular subject area. Meta-experts have an </w:t>
      </w:r>
      <w:r w:rsidR="005C1715" w:rsidRPr="00846426">
        <w:t xml:space="preserve">informed understanding of </w:t>
      </w:r>
      <w:r w:rsidR="00FF42DA" w:rsidRPr="00846426">
        <w:t>a subject area</w:t>
      </w:r>
      <w:r w:rsidR="005C1715" w:rsidRPr="00846426">
        <w:t xml:space="preserve"> developed through experience</w:t>
      </w:r>
      <w:r w:rsidR="00741BEF" w:rsidRPr="00846426">
        <w:t xml:space="preserve">. </w:t>
      </w:r>
    </w:p>
    <w:p w14:paraId="2962E0A6" w14:textId="77777777" w:rsidR="001860B8" w:rsidRPr="00846426" w:rsidRDefault="001860B8" w:rsidP="00FF42DA">
      <w:pPr>
        <w:tabs>
          <w:tab w:val="num" w:pos="1440"/>
        </w:tabs>
      </w:pPr>
    </w:p>
    <w:p w14:paraId="1A10648F" w14:textId="24BAF2DC" w:rsidR="00F0780E" w:rsidRDefault="00C94C8F" w:rsidP="00FF42DA">
      <w:pPr>
        <w:tabs>
          <w:tab w:val="num" w:pos="1440"/>
        </w:tabs>
      </w:pPr>
      <w:r w:rsidRPr="00846426">
        <w:t>Th</w:t>
      </w:r>
      <w:r w:rsidR="00745A04" w:rsidRPr="00846426">
        <w:t xml:space="preserve">e aim here is more than </w:t>
      </w:r>
      <w:r w:rsidR="00E44569" w:rsidRPr="00846426">
        <w:t>merely</w:t>
      </w:r>
      <w:r w:rsidR="00974427" w:rsidRPr="00846426">
        <w:t xml:space="preserve"> </w:t>
      </w:r>
      <w:r w:rsidR="001E6E38" w:rsidRPr="00846426">
        <w:t>the possession of a large</w:t>
      </w:r>
      <w:r w:rsidR="00BC0B9D" w:rsidRPr="00846426">
        <w:t>r</w:t>
      </w:r>
      <w:r w:rsidR="001E6E38" w:rsidRPr="00846426">
        <w:t xml:space="preserve"> number of </w:t>
      </w:r>
      <w:r w:rsidR="00C22686" w:rsidRPr="00846426">
        <w:t xml:space="preserve">facts (true beliefs) in a subject area. </w:t>
      </w:r>
      <w:r w:rsidR="00D537C4" w:rsidRPr="00846426">
        <w:t xml:space="preserve">Rather, </w:t>
      </w:r>
      <w:r w:rsidR="00E17EC1" w:rsidRPr="00846426">
        <w:t xml:space="preserve">meta-expertise </w:t>
      </w:r>
      <w:r w:rsidR="00CE4E13" w:rsidRPr="00846426">
        <w:t xml:space="preserve">should be measured in terms of a person’s </w:t>
      </w:r>
      <w:r w:rsidR="00AB43B8" w:rsidRPr="00846426">
        <w:t xml:space="preserve">understanding of </w:t>
      </w:r>
      <w:r w:rsidR="00F5220F" w:rsidRPr="00846426">
        <w:t xml:space="preserve">such questions </w:t>
      </w:r>
      <w:r w:rsidR="00F0780E" w:rsidRPr="00846426">
        <w:t>as:</w:t>
      </w:r>
    </w:p>
    <w:p w14:paraId="30B2DFE3" w14:textId="77777777" w:rsidR="00B56E86" w:rsidRPr="00846426" w:rsidRDefault="00B56E86" w:rsidP="00FF42DA">
      <w:pPr>
        <w:tabs>
          <w:tab w:val="num" w:pos="1440"/>
        </w:tabs>
      </w:pPr>
    </w:p>
    <w:p w14:paraId="0AE21476" w14:textId="0D9FE18C" w:rsidR="00E855A1" w:rsidRPr="00846426" w:rsidRDefault="00E855A1" w:rsidP="00F0780E">
      <w:pPr>
        <w:pStyle w:val="ListParagraph"/>
        <w:numPr>
          <w:ilvl w:val="0"/>
          <w:numId w:val="6"/>
        </w:numPr>
        <w:tabs>
          <w:tab w:val="num" w:pos="1440"/>
        </w:tabs>
      </w:pPr>
      <w:r w:rsidRPr="00846426">
        <w:t>w</w:t>
      </w:r>
      <w:r w:rsidR="00F5220F" w:rsidRPr="00846426">
        <w:t xml:space="preserve">hat are </w:t>
      </w:r>
      <w:r w:rsidRPr="00846426">
        <w:t xml:space="preserve">the </w:t>
      </w:r>
      <w:r w:rsidR="00CE4E13" w:rsidRPr="00846426">
        <w:t>background assumptions of a subject</w:t>
      </w:r>
      <w:r w:rsidR="006114EB" w:rsidRPr="00846426">
        <w:t xml:space="preserve"> area</w:t>
      </w:r>
      <w:r w:rsidRPr="00846426">
        <w:t>?</w:t>
      </w:r>
    </w:p>
    <w:p w14:paraId="444551CF" w14:textId="195506D6" w:rsidR="001979D7" w:rsidRPr="00846426" w:rsidRDefault="00E855A1" w:rsidP="00F0780E">
      <w:pPr>
        <w:pStyle w:val="ListParagraph"/>
        <w:numPr>
          <w:ilvl w:val="0"/>
          <w:numId w:val="6"/>
        </w:numPr>
        <w:tabs>
          <w:tab w:val="num" w:pos="1440"/>
        </w:tabs>
      </w:pPr>
      <w:r w:rsidRPr="00846426">
        <w:t xml:space="preserve">what are the </w:t>
      </w:r>
      <w:r w:rsidR="00872A82" w:rsidRPr="00846426">
        <w:t>key</w:t>
      </w:r>
      <w:r w:rsidR="007D09C0" w:rsidRPr="00846426">
        <w:t xml:space="preserve"> questions arising within it</w:t>
      </w:r>
      <w:r w:rsidRPr="00846426">
        <w:t>?</w:t>
      </w:r>
    </w:p>
    <w:p w14:paraId="4BB02E94" w14:textId="532DFAF0" w:rsidR="00E855A1" w:rsidRPr="00846426" w:rsidRDefault="00922D84" w:rsidP="00F0780E">
      <w:pPr>
        <w:pStyle w:val="ListParagraph"/>
        <w:numPr>
          <w:ilvl w:val="0"/>
          <w:numId w:val="6"/>
        </w:numPr>
        <w:tabs>
          <w:tab w:val="num" w:pos="1440"/>
        </w:tabs>
      </w:pPr>
      <w:r w:rsidRPr="00846426">
        <w:t>w</w:t>
      </w:r>
      <w:r w:rsidR="001979D7" w:rsidRPr="00846426">
        <w:t xml:space="preserve">hat are the key methodologies </w:t>
      </w:r>
      <w:r w:rsidR="0054326C" w:rsidRPr="00846426">
        <w:t>used within it?</w:t>
      </w:r>
      <w:r w:rsidR="00786F4A" w:rsidRPr="00846426">
        <w:t xml:space="preserve"> </w:t>
      </w:r>
    </w:p>
    <w:p w14:paraId="1D650601" w14:textId="0861C127" w:rsidR="003051F7" w:rsidRPr="00846426" w:rsidRDefault="00B44BD8" w:rsidP="0036018A">
      <w:pPr>
        <w:pStyle w:val="ListParagraph"/>
        <w:numPr>
          <w:ilvl w:val="0"/>
          <w:numId w:val="6"/>
        </w:numPr>
        <w:tabs>
          <w:tab w:val="num" w:pos="1440"/>
        </w:tabs>
      </w:pPr>
      <w:r w:rsidRPr="00846426">
        <w:t>w</w:t>
      </w:r>
      <w:r w:rsidR="00E855A1" w:rsidRPr="00846426">
        <w:t>hat are the areas of c</w:t>
      </w:r>
      <w:r w:rsidRPr="00846426">
        <w:t>o</w:t>
      </w:r>
      <w:r w:rsidR="00E855A1" w:rsidRPr="00846426">
        <w:t>ntention</w:t>
      </w:r>
      <w:r w:rsidR="0036018A" w:rsidRPr="00846426">
        <w:t>/</w:t>
      </w:r>
      <w:r w:rsidR="003051F7" w:rsidRPr="00846426">
        <w:t>consensus?</w:t>
      </w:r>
    </w:p>
    <w:p w14:paraId="30446917" w14:textId="4BB0901D" w:rsidR="00637CF7" w:rsidRPr="00846426" w:rsidRDefault="00E47ACA" w:rsidP="001B0741">
      <w:pPr>
        <w:pStyle w:val="ListParagraph"/>
        <w:numPr>
          <w:ilvl w:val="0"/>
          <w:numId w:val="6"/>
        </w:numPr>
        <w:tabs>
          <w:tab w:val="num" w:pos="1440"/>
        </w:tabs>
      </w:pPr>
      <w:r w:rsidRPr="00846426">
        <w:t>w</w:t>
      </w:r>
      <w:r w:rsidR="00482330" w:rsidRPr="00846426">
        <w:t>ho are the most relevant</w:t>
      </w:r>
      <w:r w:rsidR="00E47609" w:rsidRPr="00846426">
        <w:t xml:space="preserve"> and </w:t>
      </w:r>
      <w:r w:rsidR="00482330" w:rsidRPr="00846426">
        <w:t>credible experts</w:t>
      </w:r>
      <w:r w:rsidR="00704DC7" w:rsidRPr="00846426">
        <w:t>/sources</w:t>
      </w:r>
      <w:r w:rsidR="00482330" w:rsidRPr="00846426">
        <w:t xml:space="preserve"> on the </w:t>
      </w:r>
      <w:r w:rsidR="00841B0E" w:rsidRPr="00846426">
        <w:t>subject</w:t>
      </w:r>
      <w:r w:rsidR="00482330" w:rsidRPr="00846426">
        <w:t>?</w:t>
      </w:r>
    </w:p>
    <w:p w14:paraId="430DAC77" w14:textId="5DAC2B5E" w:rsidR="00482330" w:rsidRPr="00846426" w:rsidRDefault="00637CF7" w:rsidP="00637CF7">
      <w:pPr>
        <w:pStyle w:val="ListParagraph"/>
        <w:numPr>
          <w:ilvl w:val="0"/>
          <w:numId w:val="6"/>
        </w:numPr>
        <w:tabs>
          <w:tab w:val="num" w:pos="1440"/>
        </w:tabs>
      </w:pPr>
      <w:r w:rsidRPr="00846426">
        <w:t>w</w:t>
      </w:r>
      <w:r w:rsidR="00482330" w:rsidRPr="00846426">
        <w:t xml:space="preserve">here do various experts and their views </w:t>
      </w:r>
      <w:r w:rsidR="00B44307" w:rsidRPr="00846426">
        <w:t>‘</w:t>
      </w:r>
      <w:r w:rsidR="00482330" w:rsidRPr="00846426">
        <w:t>fit in</w:t>
      </w:r>
      <w:r w:rsidR="00B44307" w:rsidRPr="00846426">
        <w:t>’</w:t>
      </w:r>
      <w:r w:rsidR="00927893" w:rsidRPr="00846426">
        <w:t xml:space="preserve"> to the</w:t>
      </w:r>
      <w:r w:rsidR="00CD5038">
        <w:t xml:space="preserve"> field</w:t>
      </w:r>
      <w:r w:rsidR="00482330" w:rsidRPr="00846426">
        <w:t>?</w:t>
      </w:r>
    </w:p>
    <w:p w14:paraId="78E77595" w14:textId="2AD24BF9" w:rsidR="00E632D9" w:rsidRPr="00846426" w:rsidRDefault="007D1693" w:rsidP="00426FA5">
      <w:pPr>
        <w:pStyle w:val="Heading2"/>
      </w:pPr>
      <w:r w:rsidRPr="00846426">
        <w:t>Improv</w:t>
      </w:r>
      <w:r w:rsidR="00D30DB8" w:rsidRPr="00846426">
        <w:t>ing the understanding of non-experts</w:t>
      </w:r>
    </w:p>
    <w:p w14:paraId="7F279D76" w14:textId="27E41660" w:rsidR="005D1800" w:rsidRPr="00846426" w:rsidRDefault="00340CA5" w:rsidP="005D1800">
      <w:r w:rsidRPr="00846426">
        <w:t xml:space="preserve">Our </w:t>
      </w:r>
      <w:r w:rsidR="003E2AB6" w:rsidRPr="00846426">
        <w:t xml:space="preserve">understanding of meta-expertise </w:t>
      </w:r>
      <w:r w:rsidR="00506E66" w:rsidRPr="00846426">
        <w:t xml:space="preserve">extends the concept beyond </w:t>
      </w:r>
      <w:r w:rsidR="00BE0359" w:rsidRPr="00846426">
        <w:t xml:space="preserve">the usual </w:t>
      </w:r>
      <w:r w:rsidR="00895B7E" w:rsidRPr="00846426">
        <w:t xml:space="preserve">association of it only with subject area </w:t>
      </w:r>
      <w:r w:rsidR="00425907" w:rsidRPr="00846426">
        <w:t xml:space="preserve">mastery, to include capacities necessary </w:t>
      </w:r>
      <w:r w:rsidR="00165B3B" w:rsidRPr="00846426">
        <w:t xml:space="preserve">to help non-experts </w:t>
      </w:r>
      <w:r w:rsidR="00CF5879" w:rsidRPr="00846426">
        <w:t xml:space="preserve">improve their understanding. </w:t>
      </w:r>
      <w:r w:rsidR="002856DE" w:rsidRPr="00846426">
        <w:t>Meta</w:t>
      </w:r>
      <w:r w:rsidR="00B716DE" w:rsidRPr="00846426">
        <w:t>-expert</w:t>
      </w:r>
      <w:r w:rsidR="00990F83" w:rsidRPr="00846426">
        <w:t>s have an intermedia</w:t>
      </w:r>
      <w:r w:rsidR="0084537C">
        <w:t>ry</w:t>
      </w:r>
      <w:r w:rsidR="00990F83" w:rsidRPr="00846426">
        <w:t xml:space="preserve"> function, the </w:t>
      </w:r>
      <w:r w:rsidR="00083493" w:rsidRPr="00846426">
        <w:t xml:space="preserve">point of which is not simply to </w:t>
      </w:r>
      <w:r w:rsidR="0075702F" w:rsidRPr="00846426">
        <w:t xml:space="preserve">develop advanced understanding of a subject but </w:t>
      </w:r>
      <w:r w:rsidR="005D149D" w:rsidRPr="00846426">
        <w:t xml:space="preserve">to </w:t>
      </w:r>
      <w:r w:rsidR="000D69B5" w:rsidRPr="00846426">
        <w:t xml:space="preserve">pass that understanding onto others. </w:t>
      </w:r>
      <w:r w:rsidR="009D48A4" w:rsidRPr="00846426">
        <w:t xml:space="preserve">Croce </w:t>
      </w:r>
      <w:r w:rsidR="00A96F3B" w:rsidRPr="00846426">
        <w:t xml:space="preserve">describes a </w:t>
      </w:r>
      <w:r w:rsidR="00D0786C" w:rsidRPr="00846426">
        <w:t xml:space="preserve">non-exhaustive </w:t>
      </w:r>
      <w:r w:rsidR="007D1693" w:rsidRPr="00846426">
        <w:t>set</w:t>
      </w:r>
      <w:r w:rsidR="00A96F3B" w:rsidRPr="00846426">
        <w:t xml:space="preserve"> of </w:t>
      </w:r>
      <w:r w:rsidR="006F54C3" w:rsidRPr="00846426">
        <w:t>‘</w:t>
      </w:r>
      <w:r w:rsidR="00CA1215" w:rsidRPr="00846426">
        <w:t>novice-oriented</w:t>
      </w:r>
      <w:r w:rsidR="006F54C3" w:rsidRPr="00846426">
        <w:t xml:space="preserve"> abilities</w:t>
      </w:r>
      <w:r w:rsidR="000E7F63" w:rsidRPr="00846426">
        <w:t xml:space="preserve">’; dispositions or </w:t>
      </w:r>
      <w:r w:rsidR="00CA257C" w:rsidRPr="00846426">
        <w:t xml:space="preserve">virtues </w:t>
      </w:r>
      <w:r w:rsidR="00BA6520" w:rsidRPr="00846426">
        <w:t xml:space="preserve">that might </w:t>
      </w:r>
      <w:r w:rsidR="00006E4C" w:rsidRPr="00846426">
        <w:t>enable</w:t>
      </w:r>
      <w:r w:rsidR="00BA6520" w:rsidRPr="00846426">
        <w:t xml:space="preserve"> a</w:t>
      </w:r>
      <w:r w:rsidR="00006E4C" w:rsidRPr="00846426">
        <w:t xml:space="preserve"> person </w:t>
      </w:r>
      <w:r w:rsidR="00A432EE" w:rsidRPr="00846426">
        <w:t>to help others improve their understanding of a subject area</w:t>
      </w:r>
      <w:r w:rsidR="000318F7" w:rsidRPr="00846426">
        <w:t>. These include “sensitivity to the novice’s needs</w:t>
      </w:r>
      <w:r w:rsidR="00F3017E" w:rsidRPr="00846426">
        <w:t xml:space="preserve">, intellectual generosity, intellectual empathy, </w:t>
      </w:r>
      <w:r w:rsidR="007343A0" w:rsidRPr="00846426">
        <w:t>sensitivity to the novice’s epistemic resources</w:t>
      </w:r>
      <w:r w:rsidR="00514F25" w:rsidRPr="00846426">
        <w:t>,</w:t>
      </w:r>
      <w:r w:rsidR="007343A0" w:rsidRPr="00846426">
        <w:t xml:space="preserve"> and </w:t>
      </w:r>
      <w:r w:rsidR="00514F25" w:rsidRPr="00846426">
        <w:t>maieutic ability”.</w:t>
      </w:r>
      <w:r w:rsidR="00514F25" w:rsidRPr="00846426">
        <w:rPr>
          <w:rStyle w:val="FootnoteReference"/>
        </w:rPr>
        <w:footnoteReference w:id="22"/>
      </w:r>
      <w:r w:rsidR="00514F25" w:rsidRPr="00846426">
        <w:t xml:space="preserve"> </w:t>
      </w:r>
    </w:p>
    <w:p w14:paraId="3D784EDF" w14:textId="77777777" w:rsidR="00924E23" w:rsidRPr="00846426" w:rsidRDefault="00924E23" w:rsidP="005D1800"/>
    <w:p w14:paraId="5046FC3A" w14:textId="35110906" w:rsidR="00EC1266" w:rsidRPr="00846426" w:rsidRDefault="0000021A" w:rsidP="00A87464">
      <w:r w:rsidRPr="00846426">
        <w:t xml:space="preserve">Examples of such abilities </w:t>
      </w:r>
      <w:r w:rsidR="00C172A3" w:rsidRPr="00846426">
        <w:t xml:space="preserve">in practice </w:t>
      </w:r>
      <w:r w:rsidR="00117E65" w:rsidRPr="00846426">
        <w:t>include</w:t>
      </w:r>
      <w:r w:rsidR="00BE691F" w:rsidRPr="00846426">
        <w:t xml:space="preserve"> </w:t>
      </w:r>
      <w:r w:rsidR="00E15CA8" w:rsidRPr="00846426">
        <w:t xml:space="preserve">asking </w:t>
      </w:r>
      <w:r w:rsidR="00B3708F" w:rsidRPr="00846426">
        <w:t xml:space="preserve">empathetic, </w:t>
      </w:r>
      <w:r w:rsidR="00AA7D1B" w:rsidRPr="00846426">
        <w:t>well-pitched</w:t>
      </w:r>
      <w:r w:rsidR="00727216" w:rsidRPr="00846426">
        <w:t xml:space="preserve"> </w:t>
      </w:r>
      <w:r w:rsidR="00E15CA8" w:rsidRPr="00846426">
        <w:t xml:space="preserve">questions </w:t>
      </w:r>
      <w:r w:rsidR="00966877" w:rsidRPr="00846426">
        <w:t>to</w:t>
      </w:r>
      <w:r w:rsidR="00E15CA8" w:rsidRPr="00846426">
        <w:t xml:space="preserve"> </w:t>
      </w:r>
      <w:r w:rsidR="00AA7D1B" w:rsidRPr="00846426">
        <w:t>determine</w:t>
      </w:r>
      <w:r w:rsidR="00670C63" w:rsidRPr="00846426">
        <w:t xml:space="preserve"> </w:t>
      </w:r>
      <w:r w:rsidR="00A8022A" w:rsidRPr="00846426">
        <w:t xml:space="preserve">precisely </w:t>
      </w:r>
      <w:r w:rsidR="00D31F1B" w:rsidRPr="00846426">
        <w:t xml:space="preserve">what </w:t>
      </w:r>
      <w:r w:rsidR="00B06D36" w:rsidRPr="00846426">
        <w:t xml:space="preserve">help </w:t>
      </w:r>
      <w:r w:rsidR="00EA3816" w:rsidRPr="00846426">
        <w:t>a non-expert might</w:t>
      </w:r>
      <w:r w:rsidR="002E750B" w:rsidRPr="00846426">
        <w:t xml:space="preserve"> need</w:t>
      </w:r>
      <w:r w:rsidR="00452465" w:rsidRPr="00846426">
        <w:t xml:space="preserve"> (e.g</w:t>
      </w:r>
      <w:r w:rsidR="00331D14" w:rsidRPr="00846426">
        <w:t xml:space="preserve">. what do you already know about </w:t>
      </w:r>
      <w:r w:rsidR="008D5267" w:rsidRPr="00846426">
        <w:t>the subject</w:t>
      </w:r>
      <w:r w:rsidR="00331D14" w:rsidRPr="00846426">
        <w:t xml:space="preserve"> area? </w:t>
      </w:r>
      <w:r w:rsidR="008D5267" w:rsidRPr="00846426">
        <w:t xml:space="preserve">What are you hoping to do with </w:t>
      </w:r>
      <w:r w:rsidR="000E2E14" w:rsidRPr="00846426">
        <w:t>the information?)</w:t>
      </w:r>
      <w:r w:rsidR="00BE691F" w:rsidRPr="00846426">
        <w:t xml:space="preserve">. </w:t>
      </w:r>
      <w:r w:rsidR="005E56A8" w:rsidRPr="00846426">
        <w:t>It would also include the ability to t</w:t>
      </w:r>
      <w:r w:rsidR="00D31F1B" w:rsidRPr="00846426">
        <w:t>ailor</w:t>
      </w:r>
      <w:r w:rsidR="00AD11D1" w:rsidRPr="00846426">
        <w:t xml:space="preserve"> responses</w:t>
      </w:r>
      <w:r w:rsidR="00D31F1B" w:rsidRPr="00846426">
        <w:t xml:space="preserve"> </w:t>
      </w:r>
      <w:r w:rsidR="00B72F47" w:rsidRPr="00846426">
        <w:t xml:space="preserve">to the specific needs of an individual or </w:t>
      </w:r>
      <w:r w:rsidR="008222C2" w:rsidRPr="00846426">
        <w:t>audience</w:t>
      </w:r>
      <w:r w:rsidR="00513229" w:rsidRPr="00846426">
        <w:t xml:space="preserve">. </w:t>
      </w:r>
      <w:r w:rsidR="008C5D21" w:rsidRPr="00846426">
        <w:t xml:space="preserve">For example, </w:t>
      </w:r>
      <w:r w:rsidR="00B555DC" w:rsidRPr="00846426">
        <w:t>translating complex material into plain language</w:t>
      </w:r>
      <w:r w:rsidR="00896337" w:rsidRPr="00846426">
        <w:t xml:space="preserve">; understanding how much detail is required and how much can be left out. </w:t>
      </w:r>
    </w:p>
    <w:p w14:paraId="6AA151A7" w14:textId="77777777" w:rsidR="00F35800" w:rsidRPr="00846426" w:rsidRDefault="00EC1266" w:rsidP="00426FA5">
      <w:pPr>
        <w:pStyle w:val="Heading2"/>
      </w:pPr>
      <w:r w:rsidRPr="00846426">
        <w:lastRenderedPageBreak/>
        <w:t>Meta-expertise and parliaments</w:t>
      </w:r>
    </w:p>
    <w:p w14:paraId="504C1781" w14:textId="6C7046D4" w:rsidR="000253E6" w:rsidRDefault="00330D59" w:rsidP="00C61D96">
      <w:r>
        <w:t>U</w:t>
      </w:r>
      <w:r w:rsidRPr="00846426">
        <w:t xml:space="preserve">nless they happen to be specialists in a particular area that is the subject of parliamentary attention, parliamentarians are just as likely to be limited in their understanding of complex technical matters as any other non-expert. </w:t>
      </w:r>
      <w:r w:rsidR="00C83833">
        <w:t xml:space="preserve">As </w:t>
      </w:r>
      <w:r w:rsidR="006B4377">
        <w:t>a</w:t>
      </w:r>
      <w:r w:rsidR="00C83833">
        <w:t xml:space="preserve"> </w:t>
      </w:r>
      <w:r w:rsidR="00AC3C1F">
        <w:t xml:space="preserve">UK </w:t>
      </w:r>
      <w:r w:rsidR="006B4377">
        <w:t>M</w:t>
      </w:r>
      <w:r w:rsidR="00AC3C1F">
        <w:t xml:space="preserve">ember of </w:t>
      </w:r>
      <w:r w:rsidR="006B4377">
        <w:t xml:space="preserve">Parliament </w:t>
      </w:r>
      <w:r w:rsidR="00C92B9E">
        <w:t>has put it:</w:t>
      </w:r>
    </w:p>
    <w:p w14:paraId="07C920B6" w14:textId="77777777" w:rsidR="007C1A83" w:rsidRDefault="007C1A83" w:rsidP="00C61D96"/>
    <w:p w14:paraId="57C13052" w14:textId="6D1F2517" w:rsidR="00C92B9E" w:rsidRDefault="006B4377" w:rsidP="00C92B9E">
      <w:pPr>
        <w:ind w:left="720"/>
      </w:pPr>
      <w:proofErr w:type="gramStart"/>
      <w:r w:rsidRPr="00EA71C9">
        <w:t>By definition, most</w:t>
      </w:r>
      <w:proofErr w:type="gramEnd"/>
      <w:r w:rsidRPr="00EA71C9">
        <w:t xml:space="preserve"> politicians are not experts on most subjects; on the one hand, we have to be generalists, on the other you are expected to be expert, and there is a massive tension between those two that you would hope academic research could arbitrate.</w:t>
      </w:r>
      <w:r w:rsidRPr="00EA71C9">
        <w:rPr>
          <w:rStyle w:val="FootnoteReference"/>
        </w:rPr>
        <w:footnoteReference w:id="23"/>
      </w:r>
    </w:p>
    <w:p w14:paraId="1F12084E" w14:textId="77777777" w:rsidR="000253E6" w:rsidRDefault="000253E6" w:rsidP="00C61D96"/>
    <w:p w14:paraId="12759B21" w14:textId="122E8E33" w:rsidR="00330D59" w:rsidRDefault="00330D59" w:rsidP="00C61D96">
      <w:r w:rsidRPr="00846426">
        <w:t>Meta-expertise therefore has a crucial role to play in helping parliamentarians to understand and make decisions about complex technical matters.</w:t>
      </w:r>
    </w:p>
    <w:p w14:paraId="21CE6F54" w14:textId="77777777" w:rsidR="00D45B7E" w:rsidRDefault="00D45B7E" w:rsidP="00C61D96"/>
    <w:p w14:paraId="1EC95E42" w14:textId="45176D48" w:rsidR="00924E23" w:rsidRPr="00846426" w:rsidRDefault="00D45B7E" w:rsidP="00C61D96">
      <w:r>
        <w:t xml:space="preserve">The main way in which </w:t>
      </w:r>
      <w:r w:rsidR="000366FB">
        <w:t xml:space="preserve">parliaments have attempted to </w:t>
      </w:r>
      <w:r w:rsidR="004C27E2">
        <w:t>deal with the epistemic gap</w:t>
      </w:r>
      <w:r w:rsidR="00166151">
        <w:t xml:space="preserve"> is through the establishment of </w:t>
      </w:r>
      <w:r w:rsidR="00352145">
        <w:t xml:space="preserve">intermediary bodies </w:t>
      </w:r>
      <w:r w:rsidR="00585708">
        <w:t>in which the exercise of meta-expertise takes place.</w:t>
      </w:r>
      <w:r w:rsidR="00170966">
        <w:t xml:space="preserve"> </w:t>
      </w:r>
      <w:r w:rsidR="003B5A01" w:rsidRPr="00846426">
        <w:t>Institutional m</w:t>
      </w:r>
      <w:r w:rsidR="00826B03" w:rsidRPr="00846426">
        <w:t>eta-e</w:t>
      </w:r>
      <w:r w:rsidR="001D74E3" w:rsidRPr="00846426">
        <w:t xml:space="preserve">xpertise </w:t>
      </w:r>
      <w:r w:rsidR="00086F54" w:rsidRPr="00846426">
        <w:t xml:space="preserve">can be </w:t>
      </w:r>
      <w:r w:rsidR="000019A4" w:rsidRPr="00846426">
        <w:t xml:space="preserve">found </w:t>
      </w:r>
      <w:r w:rsidR="004F3036" w:rsidRPr="00846426">
        <w:t xml:space="preserve">in </w:t>
      </w:r>
      <w:r w:rsidR="000E0D79" w:rsidRPr="00846426">
        <w:t>various</w:t>
      </w:r>
      <w:r w:rsidR="00A22BAD" w:rsidRPr="00846426">
        <w:t xml:space="preserve"> </w:t>
      </w:r>
      <w:r w:rsidR="00011907" w:rsidRPr="00846426">
        <w:t>forms in parliament</w:t>
      </w:r>
      <w:r w:rsidR="0050482C" w:rsidRPr="00846426">
        <w:t>s</w:t>
      </w:r>
      <w:r w:rsidR="000E0D79" w:rsidRPr="00846426">
        <w:t xml:space="preserve">, including </w:t>
      </w:r>
      <w:r w:rsidR="00CA28FA" w:rsidRPr="00846426">
        <w:t>parliamentary information and research services</w:t>
      </w:r>
      <w:r w:rsidR="00A22BAD" w:rsidRPr="00846426">
        <w:t xml:space="preserve"> (including parliamentary libraries), </w:t>
      </w:r>
      <w:r w:rsidR="00515FA5" w:rsidRPr="00846426">
        <w:t>parliament</w:t>
      </w:r>
      <w:r w:rsidR="00585C7D" w:rsidRPr="00846426">
        <w:t xml:space="preserve">ary </w:t>
      </w:r>
      <w:r w:rsidR="009B3827" w:rsidRPr="00846426">
        <w:t xml:space="preserve">technology assessment </w:t>
      </w:r>
      <w:r w:rsidR="00585C7D" w:rsidRPr="00846426">
        <w:t xml:space="preserve">bodies </w:t>
      </w:r>
      <w:r w:rsidR="00CA28FA" w:rsidRPr="00846426">
        <w:t xml:space="preserve">and </w:t>
      </w:r>
      <w:r w:rsidR="00011907" w:rsidRPr="00846426">
        <w:t>parliamentary committees</w:t>
      </w:r>
      <w:r w:rsidR="00F47ADC" w:rsidRPr="00846426">
        <w:t>.</w:t>
      </w:r>
      <w:r w:rsidR="00616E43" w:rsidRPr="00846426">
        <w:t xml:space="preserve"> </w:t>
      </w:r>
      <w:r w:rsidR="00BC1338" w:rsidRPr="00846426">
        <w:t xml:space="preserve">A recent </w:t>
      </w:r>
      <w:r w:rsidR="00EE1935" w:rsidRPr="00846426">
        <w:t xml:space="preserve">project </w:t>
      </w:r>
      <w:r w:rsidR="0064405D" w:rsidRPr="00846426">
        <w:t xml:space="preserve">sponsored by </w:t>
      </w:r>
      <w:r w:rsidR="00F77B76" w:rsidRPr="00846426">
        <w:t>the UK Parliamentary Office of Science and Technology (POST)</w:t>
      </w:r>
      <w:r w:rsidR="007318A2" w:rsidRPr="00846426">
        <w:t xml:space="preserve">, found that </w:t>
      </w:r>
      <w:r w:rsidR="007A7222" w:rsidRPr="00846426">
        <w:t xml:space="preserve">most </w:t>
      </w:r>
      <w:r w:rsidR="000079E0" w:rsidRPr="00846426">
        <w:t>p</w:t>
      </w:r>
      <w:r w:rsidR="007A7222" w:rsidRPr="00846426">
        <w:t>arliaments have an established service for accessing and connecting with research</w:t>
      </w:r>
      <w:r w:rsidR="004418DC" w:rsidRPr="00846426">
        <w:t xml:space="preserve">, and identified 73 </w:t>
      </w:r>
      <w:r w:rsidR="00235C73" w:rsidRPr="00846426">
        <w:t xml:space="preserve">across the world </w:t>
      </w:r>
      <w:r w:rsidR="004418DC" w:rsidRPr="00846426">
        <w:t xml:space="preserve">as providing </w:t>
      </w:r>
      <w:r w:rsidR="00044281" w:rsidRPr="00846426">
        <w:t>a</w:t>
      </w:r>
      <w:r w:rsidR="00F2309D" w:rsidRPr="00846426">
        <w:t>nalys</w:t>
      </w:r>
      <w:r w:rsidR="00044281" w:rsidRPr="00846426">
        <w:t>is or</w:t>
      </w:r>
      <w:r w:rsidR="00F2309D" w:rsidRPr="00846426">
        <w:t xml:space="preserve"> synthesi</w:t>
      </w:r>
      <w:r w:rsidR="00A6549A" w:rsidRPr="00846426">
        <w:t>s of research</w:t>
      </w:r>
      <w:r w:rsidR="00F2309D" w:rsidRPr="00846426">
        <w:t xml:space="preserve"> and/or direct links to academic</w:t>
      </w:r>
      <w:r w:rsidR="00A6549A" w:rsidRPr="00846426">
        <w:t xml:space="preserve"> scholarship</w:t>
      </w:r>
      <w:r w:rsidR="007A7222" w:rsidRPr="00846426">
        <w:t>.</w:t>
      </w:r>
      <w:r w:rsidR="00F77B76" w:rsidRPr="00846426">
        <w:rPr>
          <w:rStyle w:val="FootnoteReference"/>
        </w:rPr>
        <w:footnoteReference w:id="24"/>
      </w:r>
      <w:r w:rsidR="007A7222" w:rsidRPr="00846426">
        <w:t xml:space="preserve"> </w:t>
      </w:r>
    </w:p>
    <w:p w14:paraId="10E5A018" w14:textId="22706552" w:rsidR="00404C88" w:rsidRPr="00846426" w:rsidRDefault="00B366A0" w:rsidP="00426FA5">
      <w:pPr>
        <w:pStyle w:val="Heading3"/>
      </w:pPr>
      <w:r w:rsidRPr="00846426">
        <w:t>Parliamentary research services</w:t>
      </w:r>
    </w:p>
    <w:p w14:paraId="0C561507" w14:textId="4DA6A8D0" w:rsidR="00FB24CC" w:rsidRPr="00846426" w:rsidRDefault="00812D28" w:rsidP="00C61D96">
      <w:r w:rsidRPr="00846426">
        <w:t xml:space="preserve">Parliamentary research services </w:t>
      </w:r>
      <w:r w:rsidR="00D033A6" w:rsidRPr="00846426">
        <w:t>(</w:t>
      </w:r>
      <w:r w:rsidR="00CE28D2" w:rsidRPr="00846426">
        <w:t>PRS</w:t>
      </w:r>
      <w:r w:rsidR="00286AA3" w:rsidRPr="00846426">
        <w:t xml:space="preserve">) </w:t>
      </w:r>
      <w:r w:rsidR="00635222" w:rsidRPr="00846426">
        <w:t xml:space="preserve">play a </w:t>
      </w:r>
      <w:r w:rsidR="00022C35" w:rsidRPr="00846426">
        <w:t>key role</w:t>
      </w:r>
      <w:r w:rsidR="00635222" w:rsidRPr="00846426">
        <w:t xml:space="preserve"> in </w:t>
      </w:r>
      <w:r w:rsidR="00092DF1" w:rsidRPr="00846426">
        <w:t xml:space="preserve">helping parliamentarians to perform their </w:t>
      </w:r>
      <w:r w:rsidR="008D72D7" w:rsidRPr="00846426">
        <w:t>legislative</w:t>
      </w:r>
      <w:r w:rsidR="00DF0C7E" w:rsidRPr="00846426">
        <w:t>, deliberative, scrutiny</w:t>
      </w:r>
      <w:r w:rsidR="007241FE" w:rsidRPr="00846426">
        <w:t xml:space="preserve"> and representational </w:t>
      </w:r>
      <w:r w:rsidR="000B29FA" w:rsidRPr="00846426">
        <w:t>duties</w:t>
      </w:r>
      <w:r w:rsidR="00B00A0C" w:rsidRPr="00846426">
        <w:t xml:space="preserve">. </w:t>
      </w:r>
      <w:r w:rsidR="00BA003D" w:rsidRPr="00846426">
        <w:t xml:space="preserve">They </w:t>
      </w:r>
      <w:r w:rsidR="00360A79" w:rsidRPr="00846426">
        <w:t xml:space="preserve">emerged as a complement to parliamentary libraries, </w:t>
      </w:r>
      <w:r w:rsidR="005F0ED7" w:rsidRPr="00846426">
        <w:t xml:space="preserve">to meet the growing demand </w:t>
      </w:r>
      <w:r w:rsidR="008B55B4" w:rsidRPr="00846426">
        <w:t>for objective, and authoritative research and analysis.</w:t>
      </w:r>
      <w:r w:rsidR="00D60F40" w:rsidRPr="00846426">
        <w:t xml:space="preserve"> </w:t>
      </w:r>
      <w:r w:rsidR="007E474E" w:rsidRPr="00846426">
        <w:t xml:space="preserve">In many cases they operate </w:t>
      </w:r>
      <w:r w:rsidR="00D32A68" w:rsidRPr="00846426">
        <w:t>separately</w:t>
      </w:r>
      <w:r w:rsidR="007E474E" w:rsidRPr="00846426">
        <w:t xml:space="preserve"> from </w:t>
      </w:r>
      <w:r w:rsidR="00210229" w:rsidRPr="00846426">
        <w:t xml:space="preserve">parliamentary libraries and </w:t>
      </w:r>
      <w:r w:rsidR="00393094" w:rsidRPr="00846426">
        <w:t xml:space="preserve">can be divided into three broad </w:t>
      </w:r>
      <w:r w:rsidR="00531BB0" w:rsidRPr="00846426">
        <w:t>models</w:t>
      </w:r>
      <w:r w:rsidR="00393094" w:rsidRPr="00846426">
        <w:t xml:space="preserve">: </w:t>
      </w:r>
      <w:r w:rsidR="0059798A" w:rsidRPr="00846426">
        <w:t>internal</w:t>
      </w:r>
      <w:r w:rsidR="00531BB0" w:rsidRPr="00846426">
        <w:t>, external or mixed.</w:t>
      </w:r>
      <w:r w:rsidR="0059798A" w:rsidRPr="00846426">
        <w:rPr>
          <w:rStyle w:val="FootnoteReference"/>
        </w:rPr>
        <w:footnoteReference w:id="25"/>
      </w:r>
      <w:r w:rsidR="00830139" w:rsidRPr="00846426">
        <w:t xml:space="preserve"> An early example of PRS is the US Congressional Research Service, which was established </w:t>
      </w:r>
      <w:r w:rsidR="00542204" w:rsidRPr="00846426">
        <w:t>(under the name</w:t>
      </w:r>
      <w:r w:rsidR="00044744" w:rsidRPr="00846426">
        <w:t xml:space="preserve">, Legislative Reference Service) </w:t>
      </w:r>
      <w:r w:rsidR="00F37061" w:rsidRPr="00846426">
        <w:t>in 1914</w:t>
      </w:r>
      <w:r w:rsidR="00A36FEE" w:rsidRPr="00846426">
        <w:t xml:space="preserve"> to </w:t>
      </w:r>
      <w:r w:rsidR="0064308D" w:rsidRPr="00846426">
        <w:t>assist with the information needs of Congress</w:t>
      </w:r>
      <w:r w:rsidR="007E1897" w:rsidRPr="00846426">
        <w:t>, and</w:t>
      </w:r>
      <w:r w:rsidR="006E3CA2" w:rsidRPr="00846426">
        <w:t xml:space="preserve"> in 1970 was </w:t>
      </w:r>
      <w:r w:rsidR="00A444CB" w:rsidRPr="00846426">
        <w:t xml:space="preserve">given a </w:t>
      </w:r>
      <w:r w:rsidR="00FD1676" w:rsidRPr="00846426">
        <w:t>greater role in research and analysis</w:t>
      </w:r>
      <w:r w:rsidR="00F37061" w:rsidRPr="00846426">
        <w:t>.</w:t>
      </w:r>
      <w:r w:rsidR="0064308D" w:rsidRPr="00846426">
        <w:rPr>
          <w:rStyle w:val="FootnoteReference"/>
        </w:rPr>
        <w:footnoteReference w:id="26"/>
      </w:r>
      <w:r w:rsidR="00044744" w:rsidRPr="00846426">
        <w:t xml:space="preserve"> </w:t>
      </w:r>
    </w:p>
    <w:p w14:paraId="27C0FCE4" w14:textId="77777777" w:rsidR="00AB4166" w:rsidRPr="00846426" w:rsidRDefault="00AB4166" w:rsidP="00C61D96"/>
    <w:p w14:paraId="7FA9F717" w14:textId="65385598" w:rsidR="00F47ADC" w:rsidRPr="00846426" w:rsidRDefault="00B00A0C" w:rsidP="00C61D96">
      <w:r w:rsidRPr="00846426">
        <w:t xml:space="preserve">The </w:t>
      </w:r>
      <w:r w:rsidR="00DA53FA" w:rsidRPr="00846426">
        <w:t>Inter-Parliamentary Union</w:t>
      </w:r>
      <w:r w:rsidR="005147A5" w:rsidRPr="00846426">
        <w:t xml:space="preserve"> and </w:t>
      </w:r>
      <w:r w:rsidR="00350B8B" w:rsidRPr="00846426">
        <w:t xml:space="preserve">International Federation of Library Associations and Institutions </w:t>
      </w:r>
      <w:r w:rsidR="0070477B" w:rsidRPr="00846426">
        <w:t xml:space="preserve">research services </w:t>
      </w:r>
      <w:r w:rsidR="00350B8B" w:rsidRPr="00846426">
        <w:t>guidelines</w:t>
      </w:r>
      <w:r w:rsidR="0070477B" w:rsidRPr="00846426">
        <w:t xml:space="preserve"> </w:t>
      </w:r>
      <w:r w:rsidR="00091225" w:rsidRPr="00846426">
        <w:t xml:space="preserve">provide a good explanation </w:t>
      </w:r>
      <w:r w:rsidR="00A42586" w:rsidRPr="00846426">
        <w:t>of th</w:t>
      </w:r>
      <w:r w:rsidR="00F3041B" w:rsidRPr="00846426">
        <w:t>e</w:t>
      </w:r>
      <w:r w:rsidR="00A42586" w:rsidRPr="00846426">
        <w:t xml:space="preserve"> role</w:t>
      </w:r>
      <w:r w:rsidR="00F3041B" w:rsidRPr="00846426">
        <w:t xml:space="preserve"> of PRS</w:t>
      </w:r>
      <w:r w:rsidR="00770055" w:rsidRPr="00846426">
        <w:t>:</w:t>
      </w:r>
    </w:p>
    <w:p w14:paraId="23380228" w14:textId="77777777" w:rsidR="004D5E6E" w:rsidRPr="00846426" w:rsidRDefault="006F7B07" w:rsidP="00770055">
      <w:pPr>
        <w:pStyle w:val="Quote"/>
        <w:ind w:left="720"/>
        <w:jc w:val="left"/>
        <w:rPr>
          <w:i w:val="0"/>
          <w:iCs w:val="0"/>
        </w:rPr>
      </w:pPr>
      <w:r w:rsidRPr="00846426">
        <w:rPr>
          <w:i w:val="0"/>
          <w:iCs w:val="0"/>
        </w:rPr>
        <w:t xml:space="preserve"> … as they prepare themselves for their parliamentary activities, parliamentarians have the daunting task of having to secure access to authoritative and concise material that presents synthesis and analysis of the relevant facts necessary for them to intervene effectively (often on short notice) on public policy issues addressed by a parliament</w:t>
      </w:r>
      <w:r w:rsidR="004D5E6E" w:rsidRPr="00846426">
        <w:rPr>
          <w:i w:val="0"/>
          <w:iCs w:val="0"/>
        </w:rPr>
        <w:t xml:space="preserve"> ..</w:t>
      </w:r>
      <w:r w:rsidRPr="00846426">
        <w:rPr>
          <w:i w:val="0"/>
          <w:iCs w:val="0"/>
        </w:rPr>
        <w:t xml:space="preserve">. A parliamentary research service can assist by preparing synthesis and analysis of proposed legislation, policies or programmes considered by a parliament. Activities can include the preparation of factual assessments, the provision of second opinions on </w:t>
      </w:r>
      <w:r w:rsidRPr="00846426">
        <w:rPr>
          <w:i w:val="0"/>
          <w:iCs w:val="0"/>
        </w:rPr>
        <w:lastRenderedPageBreak/>
        <w:t xml:space="preserve">information provided by the government or even assessments of whether the government has implemented the actions it committed to take. </w:t>
      </w:r>
    </w:p>
    <w:p w14:paraId="406279E6" w14:textId="5541AA08" w:rsidR="00770055" w:rsidRPr="00846426" w:rsidRDefault="006F7B07" w:rsidP="00770055">
      <w:pPr>
        <w:pStyle w:val="Quote"/>
        <w:ind w:left="720"/>
        <w:jc w:val="left"/>
        <w:rPr>
          <w:i w:val="0"/>
          <w:iCs w:val="0"/>
        </w:rPr>
      </w:pPr>
      <w:r w:rsidRPr="00846426">
        <w:rPr>
          <w:i w:val="0"/>
          <w:iCs w:val="0"/>
        </w:rPr>
        <w:t>The role of the research service will be to provide analysis covering the spectrum of perspectives through products and services that do not attempt to lobby, are non-partisan and are offered to governing and opposition parties alike. Analytical work will focus on synthesizing facts and presenting information in a balanced manner both in political terms and in the approaches adopted to conduct analysis.</w:t>
      </w:r>
      <w:r w:rsidR="00DB5A6C" w:rsidRPr="00846426">
        <w:rPr>
          <w:rStyle w:val="FootnoteReference"/>
          <w:i w:val="0"/>
          <w:iCs w:val="0"/>
        </w:rPr>
        <w:footnoteReference w:id="27"/>
      </w:r>
    </w:p>
    <w:p w14:paraId="2441D42F" w14:textId="77777777" w:rsidR="006760D3" w:rsidRPr="00846426" w:rsidRDefault="006760D3" w:rsidP="006760D3"/>
    <w:p w14:paraId="2932F971" w14:textId="72A2C461" w:rsidR="0077738C" w:rsidRPr="00846426" w:rsidRDefault="000F77C9" w:rsidP="0077738C">
      <w:r w:rsidRPr="00846426">
        <w:t xml:space="preserve">For </w:t>
      </w:r>
      <w:r w:rsidR="0025550B" w:rsidRPr="00846426">
        <w:t>PRS</w:t>
      </w:r>
      <w:r w:rsidR="00B3708D" w:rsidRPr="00846426">
        <w:t xml:space="preserve">, effective performance of this function requires </w:t>
      </w:r>
      <w:r w:rsidR="006802AB" w:rsidRPr="00846426">
        <w:t>meta-expertise. T</w:t>
      </w:r>
      <w:r w:rsidR="00982A88" w:rsidRPr="00846426">
        <w:t xml:space="preserve">here </w:t>
      </w:r>
      <w:r w:rsidR="007D4BAB" w:rsidRPr="00846426">
        <w:t>must be</w:t>
      </w:r>
      <w:r w:rsidR="00982A88" w:rsidRPr="00846426">
        <w:t xml:space="preserve"> </w:t>
      </w:r>
      <w:r w:rsidR="00342974" w:rsidRPr="00846426">
        <w:t xml:space="preserve">subject specialists available </w:t>
      </w:r>
      <w:r w:rsidR="007D4BAB" w:rsidRPr="00846426">
        <w:t xml:space="preserve">who </w:t>
      </w:r>
      <w:r w:rsidR="005F41B1" w:rsidRPr="00846426">
        <w:t>possess</w:t>
      </w:r>
      <w:r w:rsidR="0063402B" w:rsidRPr="00846426">
        <w:t xml:space="preserve"> the necessary attributes for</w:t>
      </w:r>
      <w:r w:rsidR="00C928B3" w:rsidRPr="00846426">
        <w:t xml:space="preserve"> helping parliamentarians to better understand legislative and public policy </w:t>
      </w:r>
      <w:r w:rsidR="00E54DCC" w:rsidRPr="00846426">
        <w:t xml:space="preserve">matters. Parliamentary researchers need to know what they are talking about (subject area mastery) and </w:t>
      </w:r>
      <w:r w:rsidR="00E838E5" w:rsidRPr="00846426">
        <w:t xml:space="preserve">be capable of presenting it in a way that meets the specific </w:t>
      </w:r>
      <w:r w:rsidR="00B079A9" w:rsidRPr="00846426">
        <w:t>requirements</w:t>
      </w:r>
      <w:r w:rsidR="00E838E5" w:rsidRPr="00846426">
        <w:t xml:space="preserve"> of their parliamentary audience</w:t>
      </w:r>
      <w:r w:rsidR="005F41B1" w:rsidRPr="00846426">
        <w:t xml:space="preserve"> (timely, impartial, clear</w:t>
      </w:r>
      <w:r w:rsidR="00F762FD" w:rsidRPr="00846426">
        <w:t>, concise)</w:t>
      </w:r>
      <w:r w:rsidR="00E838E5" w:rsidRPr="00846426">
        <w:t>.</w:t>
      </w:r>
      <w:r w:rsidR="001E30D1" w:rsidRPr="00846426">
        <w:rPr>
          <w:rStyle w:val="FootnoteReference"/>
        </w:rPr>
        <w:footnoteReference w:id="28"/>
      </w:r>
    </w:p>
    <w:p w14:paraId="2E0F16EB" w14:textId="2EF12FD9" w:rsidR="00B366A0" w:rsidRPr="00846426" w:rsidRDefault="009C4100" w:rsidP="009D6688">
      <w:pPr>
        <w:pStyle w:val="Heading3"/>
      </w:pPr>
      <w:r w:rsidRPr="00846426">
        <w:t>P</w:t>
      </w:r>
      <w:r w:rsidR="00286AA3" w:rsidRPr="00846426">
        <w:t>arliamentary technology assessment</w:t>
      </w:r>
      <w:r w:rsidRPr="00846426">
        <w:t xml:space="preserve"> </w:t>
      </w:r>
    </w:p>
    <w:p w14:paraId="45ABECD2" w14:textId="1B780A70" w:rsidR="009E6E70" w:rsidRPr="00846426" w:rsidRDefault="00516EFF" w:rsidP="0077738C">
      <w:r w:rsidRPr="00846426">
        <w:t xml:space="preserve">In response to </w:t>
      </w:r>
      <w:r w:rsidR="007B26BB" w:rsidRPr="00846426">
        <w:t xml:space="preserve">increased awareness from the 1960s and 1970s </w:t>
      </w:r>
      <w:r w:rsidR="009357F6" w:rsidRPr="00846426">
        <w:t xml:space="preserve">about the </w:t>
      </w:r>
      <w:r w:rsidR="00F73CB8" w:rsidRPr="00846426">
        <w:t>specific</w:t>
      </w:r>
      <w:r w:rsidR="009357F6" w:rsidRPr="00846426">
        <w:t xml:space="preserve"> </w:t>
      </w:r>
      <w:r w:rsidR="00776857" w:rsidRPr="00846426">
        <w:t xml:space="preserve">challenges </w:t>
      </w:r>
      <w:r w:rsidR="00617A61" w:rsidRPr="00846426">
        <w:t xml:space="preserve">and </w:t>
      </w:r>
      <w:r w:rsidR="003818DD" w:rsidRPr="00846426">
        <w:t xml:space="preserve">uncertainties </w:t>
      </w:r>
      <w:r w:rsidR="00776857" w:rsidRPr="00846426">
        <w:t>posed by</w:t>
      </w:r>
      <w:r w:rsidR="00EC2950" w:rsidRPr="00846426">
        <w:t xml:space="preserve"> scientific and technical cha</w:t>
      </w:r>
      <w:r w:rsidR="00FC46C4" w:rsidRPr="00846426">
        <w:t>nge</w:t>
      </w:r>
      <w:r w:rsidR="008426C7" w:rsidRPr="00846426">
        <w:t xml:space="preserve">, </w:t>
      </w:r>
      <w:r w:rsidR="00FC46C4" w:rsidRPr="00846426">
        <w:t xml:space="preserve">many countries have established </w:t>
      </w:r>
      <w:r w:rsidR="00E2531B" w:rsidRPr="00846426">
        <w:t xml:space="preserve">dedicated </w:t>
      </w:r>
      <w:r w:rsidR="00227FB0" w:rsidRPr="00846426">
        <w:t xml:space="preserve">parliamentary </w:t>
      </w:r>
      <w:r w:rsidR="00C44C79" w:rsidRPr="00846426">
        <w:t xml:space="preserve">technology assessment </w:t>
      </w:r>
      <w:r w:rsidR="00227FB0" w:rsidRPr="00846426">
        <w:t>(</w:t>
      </w:r>
      <w:r w:rsidR="001543CC" w:rsidRPr="00846426">
        <w:t>PTA</w:t>
      </w:r>
      <w:r w:rsidR="00227FB0" w:rsidRPr="00846426">
        <w:t>)</w:t>
      </w:r>
      <w:r w:rsidR="001543CC" w:rsidRPr="00846426">
        <w:t xml:space="preserve"> bodies </w:t>
      </w:r>
      <w:r w:rsidR="009B4498" w:rsidRPr="00846426">
        <w:t xml:space="preserve">tasked with providing impartial advice to assist with decision-making. </w:t>
      </w:r>
      <w:r w:rsidR="001F1948" w:rsidRPr="00846426">
        <w:t xml:space="preserve">As </w:t>
      </w:r>
      <w:proofErr w:type="spellStart"/>
      <w:r w:rsidR="001F1948" w:rsidRPr="00846426">
        <w:t>Csaki</w:t>
      </w:r>
      <w:proofErr w:type="spellEnd"/>
      <w:r w:rsidR="00E77D51" w:rsidRPr="00846426">
        <w:t xml:space="preserve"> (et al) explain</w:t>
      </w:r>
      <w:r w:rsidR="00577B20" w:rsidRPr="00846426">
        <w:t>, “</w:t>
      </w:r>
      <w:r w:rsidR="00E77D51" w:rsidRPr="00846426">
        <w:t>[PTA] may focus on diverse themes such as energy</w:t>
      </w:r>
      <w:r w:rsidR="00ED513A" w:rsidRPr="00846426">
        <w:t>, health and ageing. PTA may involve e</w:t>
      </w:r>
      <w:r w:rsidR="00A10B69" w:rsidRPr="00846426">
        <w:t>xperts, stakeholders and possibly citizens</w:t>
      </w:r>
      <w:r w:rsidR="009C58FC" w:rsidRPr="00846426">
        <w:t>, but with the primary purpose of informing decision-makers within the parliament</w:t>
      </w:r>
      <w:r w:rsidR="009E6E70" w:rsidRPr="00846426">
        <w:t>.”</w:t>
      </w:r>
      <w:r w:rsidR="00F56DB4" w:rsidRPr="00846426">
        <w:rPr>
          <w:rStyle w:val="FootnoteReference"/>
        </w:rPr>
        <w:footnoteReference w:id="29"/>
      </w:r>
      <w:r w:rsidR="0087386B" w:rsidRPr="00846426">
        <w:t xml:space="preserve"> </w:t>
      </w:r>
      <w:r w:rsidR="00826F23" w:rsidRPr="00846426">
        <w:t xml:space="preserve">Following the establishment of the Office of Technology Assessment at the US Congress in 1972, </w:t>
      </w:r>
      <w:r w:rsidR="00C115B6" w:rsidRPr="00846426">
        <w:t xml:space="preserve">PTA bodies have taken a variety of forms </w:t>
      </w:r>
      <w:r w:rsidR="00603742" w:rsidRPr="00846426">
        <w:t xml:space="preserve">across different parliaments, including </w:t>
      </w:r>
      <w:r w:rsidR="00AA174F" w:rsidRPr="00846426">
        <w:t>within parliamentary committees</w:t>
      </w:r>
      <w:r w:rsidR="00596CA8" w:rsidRPr="00846426">
        <w:t>, as</w:t>
      </w:r>
      <w:r w:rsidR="00930958" w:rsidRPr="00846426">
        <w:t xml:space="preserve"> independent office</w:t>
      </w:r>
      <w:r w:rsidR="006E4B64" w:rsidRPr="00846426">
        <w:t>s</w:t>
      </w:r>
      <w:r w:rsidR="00930958" w:rsidRPr="00846426">
        <w:t xml:space="preserve"> or unit</w:t>
      </w:r>
      <w:r w:rsidR="006E4B64" w:rsidRPr="00846426">
        <w:t>s</w:t>
      </w:r>
      <w:r w:rsidR="00930958" w:rsidRPr="00846426">
        <w:t xml:space="preserve"> within the parliament or </w:t>
      </w:r>
      <w:r w:rsidR="00C90FB8" w:rsidRPr="00846426">
        <w:t xml:space="preserve">as independent institutions </w:t>
      </w:r>
      <w:r w:rsidR="00637D7A" w:rsidRPr="00846426">
        <w:t xml:space="preserve">(operating separately but with </w:t>
      </w:r>
      <w:r w:rsidR="00F412DE" w:rsidRPr="00846426">
        <w:t xml:space="preserve">parliament as </w:t>
      </w:r>
      <w:r w:rsidR="00D70AB1" w:rsidRPr="00846426">
        <w:t>their</w:t>
      </w:r>
      <w:r w:rsidR="00F412DE" w:rsidRPr="00846426">
        <w:t xml:space="preserve"> main client).</w:t>
      </w:r>
      <w:r w:rsidR="00F56DB4" w:rsidRPr="00846426">
        <w:rPr>
          <w:rStyle w:val="FootnoteReference"/>
        </w:rPr>
        <w:footnoteReference w:id="30"/>
      </w:r>
      <w:r w:rsidR="00D70AB1" w:rsidRPr="00846426">
        <w:t xml:space="preserve"> </w:t>
      </w:r>
    </w:p>
    <w:p w14:paraId="1E90901C" w14:textId="77777777" w:rsidR="000617F1" w:rsidRPr="00846426" w:rsidRDefault="000617F1" w:rsidP="0077738C"/>
    <w:p w14:paraId="52634C9A" w14:textId="1192AF88" w:rsidR="00CB5046" w:rsidRPr="00846426" w:rsidRDefault="00BF1197" w:rsidP="0077738C">
      <w:r w:rsidRPr="00846426">
        <w:t xml:space="preserve">The Office of Technology Assessment at the German Bundestag </w:t>
      </w:r>
      <w:r w:rsidR="008E54A5" w:rsidRPr="00846426">
        <w:t xml:space="preserve">(TAB) </w:t>
      </w:r>
      <w:r w:rsidRPr="00846426">
        <w:t xml:space="preserve">is an example of </w:t>
      </w:r>
      <w:r w:rsidR="00E15448" w:rsidRPr="00846426">
        <w:t>the latter</w:t>
      </w:r>
      <w:r w:rsidR="006D7DF8" w:rsidRPr="00846426">
        <w:t xml:space="preserve">. It is </w:t>
      </w:r>
      <w:r w:rsidR="00BF1A06" w:rsidRPr="00846426">
        <w:t xml:space="preserve">operated by </w:t>
      </w:r>
      <w:r w:rsidR="00C65FCA" w:rsidRPr="00846426">
        <w:t>a body within</w:t>
      </w:r>
      <w:r w:rsidR="006D7DF8" w:rsidRPr="00846426">
        <w:t xml:space="preserve"> the Karlsruhe Institute for Technology and </w:t>
      </w:r>
      <w:r w:rsidR="00F51A0C" w:rsidRPr="00846426">
        <w:t>governed</w:t>
      </w:r>
      <w:r w:rsidR="006D7DF8" w:rsidRPr="00846426">
        <w:t xml:space="preserve"> by a parliamentary steering committee</w:t>
      </w:r>
      <w:r w:rsidR="00C65FCA" w:rsidRPr="00846426">
        <w:t xml:space="preserve">. According to </w:t>
      </w:r>
      <w:r w:rsidR="008E2907" w:rsidRPr="00846426">
        <w:t>Kehl (et al):</w:t>
      </w:r>
    </w:p>
    <w:p w14:paraId="3917E093" w14:textId="515EE4C6" w:rsidR="008E2907" w:rsidRPr="00846426" w:rsidRDefault="00F51A0C" w:rsidP="00F51A0C">
      <w:pPr>
        <w:pStyle w:val="Quote"/>
        <w:ind w:left="720"/>
        <w:jc w:val="left"/>
        <w:rPr>
          <w:i w:val="0"/>
          <w:iCs w:val="0"/>
        </w:rPr>
      </w:pPr>
      <w:r w:rsidRPr="00846426">
        <w:rPr>
          <w:i w:val="0"/>
          <w:iCs w:val="0"/>
        </w:rPr>
        <w:t xml:space="preserve">TAB’s work is mainly based on gathering expert scientific opinions. Its task is to integrate relevant knowledge in a comprehensive manner, to weigh up the available information, to disclose different positions and their normative premises, and to identify new options for (political) action </w:t>
      </w:r>
      <w:proofErr w:type="gramStart"/>
      <w:r w:rsidRPr="00846426">
        <w:rPr>
          <w:i w:val="0"/>
          <w:iCs w:val="0"/>
        </w:rPr>
        <w:t>in order to</w:t>
      </w:r>
      <w:proofErr w:type="gramEnd"/>
      <w:r w:rsidRPr="00846426">
        <w:rPr>
          <w:i w:val="0"/>
          <w:iCs w:val="0"/>
        </w:rPr>
        <w:t xml:space="preserve"> support the democratic decision-making processes</w:t>
      </w:r>
      <w:r w:rsidR="00C3467C" w:rsidRPr="00846426">
        <w:rPr>
          <w:i w:val="0"/>
          <w:iCs w:val="0"/>
        </w:rPr>
        <w:t>.</w:t>
      </w:r>
      <w:r w:rsidR="00E94108" w:rsidRPr="00846426">
        <w:rPr>
          <w:rStyle w:val="FootnoteReference"/>
          <w:i w:val="0"/>
          <w:iCs w:val="0"/>
        </w:rPr>
        <w:footnoteReference w:id="31"/>
      </w:r>
    </w:p>
    <w:p w14:paraId="70A5D043" w14:textId="77777777" w:rsidR="00C3467C" w:rsidRPr="00846426" w:rsidRDefault="00C3467C" w:rsidP="00C3467C"/>
    <w:p w14:paraId="6BFDBCA8" w14:textId="26DFF6AE" w:rsidR="000867FD" w:rsidRPr="00846426" w:rsidRDefault="00EC0DB9" w:rsidP="0077738C">
      <w:r w:rsidRPr="00846426">
        <w:t>By contrast</w:t>
      </w:r>
      <w:r w:rsidR="005C033B" w:rsidRPr="00846426">
        <w:t xml:space="preserve">, </w:t>
      </w:r>
      <w:r w:rsidR="00501124" w:rsidRPr="00846426">
        <w:t xml:space="preserve">while originally an external </w:t>
      </w:r>
      <w:r w:rsidR="00BF0230" w:rsidRPr="00846426">
        <w:t>body</w:t>
      </w:r>
      <w:r w:rsidR="001729F2" w:rsidRPr="00846426">
        <w:t xml:space="preserve"> when established in 1989</w:t>
      </w:r>
      <w:r w:rsidR="00BF0230" w:rsidRPr="00846426">
        <w:t xml:space="preserve">, </w:t>
      </w:r>
      <w:r w:rsidR="005C033B" w:rsidRPr="00846426">
        <w:t xml:space="preserve">the </w:t>
      </w:r>
      <w:r w:rsidR="00F77B76" w:rsidRPr="00846426">
        <w:t xml:space="preserve">UK’s </w:t>
      </w:r>
      <w:r w:rsidR="0064405D" w:rsidRPr="00846426">
        <w:t>POST</w:t>
      </w:r>
      <w:r w:rsidR="00F77B76" w:rsidRPr="00846426">
        <w:t xml:space="preserve"> </w:t>
      </w:r>
      <w:r w:rsidR="001F648E" w:rsidRPr="00846426">
        <w:t>now operates</w:t>
      </w:r>
      <w:r w:rsidR="00E9480C" w:rsidRPr="00846426">
        <w:t xml:space="preserve"> within the </w:t>
      </w:r>
      <w:r w:rsidR="00371A41" w:rsidRPr="00846426">
        <w:t>UK parlia</w:t>
      </w:r>
      <w:r w:rsidR="0059235F" w:rsidRPr="00846426">
        <w:t>ment</w:t>
      </w:r>
      <w:r w:rsidR="00275F3B" w:rsidRPr="00846426">
        <w:t xml:space="preserve">, governed by a board comprising </w:t>
      </w:r>
      <w:r w:rsidR="0098262A" w:rsidRPr="00846426">
        <w:t>parliamentarians</w:t>
      </w:r>
      <w:r w:rsidR="00623C34" w:rsidRPr="00846426">
        <w:t xml:space="preserve">, parliamentary officials and </w:t>
      </w:r>
      <w:r w:rsidR="00C93034" w:rsidRPr="00846426">
        <w:t>experts drawn from the UK’s learned academies</w:t>
      </w:r>
      <w:r w:rsidR="0059235F" w:rsidRPr="00846426">
        <w:t>.</w:t>
      </w:r>
      <w:r w:rsidR="00355FFF" w:rsidRPr="00846426">
        <w:rPr>
          <w:rStyle w:val="FootnoteReference"/>
        </w:rPr>
        <w:footnoteReference w:id="32"/>
      </w:r>
      <w:r w:rsidR="0059235F" w:rsidRPr="00846426">
        <w:t xml:space="preserve"> </w:t>
      </w:r>
      <w:r w:rsidR="00EE3C50" w:rsidRPr="00846426">
        <w:t>POST describes itself as:</w:t>
      </w:r>
    </w:p>
    <w:p w14:paraId="57313DEA" w14:textId="77777777" w:rsidR="00EE3C50" w:rsidRPr="00846426" w:rsidRDefault="00EE3C50" w:rsidP="0077738C"/>
    <w:p w14:paraId="2A6371E2" w14:textId="1455706C" w:rsidR="00EE3C50" w:rsidRPr="00846426" w:rsidRDefault="00EE3C50" w:rsidP="00EE3C50">
      <w:pPr>
        <w:ind w:left="720"/>
      </w:pPr>
      <w:r w:rsidRPr="00846426">
        <w:t xml:space="preserve"> … a research and knowledge exchange service based in the UK Parliament. It works to ensure that the best available research evidence and information is brought to bear on the legislative process and scrutiny of Government. It primarily supports the select committees of both Houses.</w:t>
      </w:r>
      <w:r w:rsidRPr="00846426">
        <w:rPr>
          <w:rStyle w:val="FootnoteReference"/>
        </w:rPr>
        <w:footnoteReference w:id="33"/>
      </w:r>
    </w:p>
    <w:p w14:paraId="3B00EC43" w14:textId="77777777" w:rsidR="00A870DA" w:rsidRPr="00846426" w:rsidRDefault="00A870DA" w:rsidP="0077738C"/>
    <w:p w14:paraId="12AA5898" w14:textId="15F11E2B" w:rsidR="00DB7EE1" w:rsidRPr="00846426" w:rsidRDefault="000A1736" w:rsidP="0077738C">
      <w:r w:rsidRPr="00846426">
        <w:t xml:space="preserve">Its work includes </w:t>
      </w:r>
      <w:r w:rsidR="00AC0CA2" w:rsidRPr="00846426">
        <w:t xml:space="preserve">publishing peer-reviewed research, </w:t>
      </w:r>
      <w:r w:rsidR="00AD48EE" w:rsidRPr="00846426">
        <w:t xml:space="preserve">helping </w:t>
      </w:r>
      <w:r w:rsidR="007F6544" w:rsidRPr="00846426">
        <w:t xml:space="preserve">Parliament </w:t>
      </w:r>
      <w:r w:rsidR="00AD48EE" w:rsidRPr="00846426">
        <w:t>to access experts and evidence</w:t>
      </w:r>
      <w:r w:rsidR="007F6544" w:rsidRPr="00846426">
        <w:t xml:space="preserve">, </w:t>
      </w:r>
      <w:r w:rsidR="009C2669" w:rsidRPr="00846426">
        <w:t>identifying emerging areas of interest</w:t>
      </w:r>
      <w:r w:rsidR="000362B3" w:rsidRPr="00846426">
        <w:t xml:space="preserve"> and </w:t>
      </w:r>
      <w:r w:rsidR="006D0EB1" w:rsidRPr="00846426">
        <w:t xml:space="preserve">supporting the exchange </w:t>
      </w:r>
      <w:r w:rsidR="00070CE2" w:rsidRPr="00846426">
        <w:t xml:space="preserve">of </w:t>
      </w:r>
      <w:r w:rsidR="006D0EB1" w:rsidRPr="00846426">
        <w:t>expertise between researchers and the Parliament through fellowships</w:t>
      </w:r>
      <w:r w:rsidR="00070CE2" w:rsidRPr="00846426">
        <w:t xml:space="preserve"> and other activities.</w:t>
      </w:r>
    </w:p>
    <w:p w14:paraId="24AF1B61" w14:textId="77777777" w:rsidR="00566DF1" w:rsidRDefault="00566DF1" w:rsidP="00DB7EE1"/>
    <w:p w14:paraId="387949B8" w14:textId="3DDD8C23" w:rsidR="006939D5" w:rsidRDefault="006939D5" w:rsidP="00DB7EE1">
      <w:pPr>
        <w:rPr>
          <w:lang w:val="en-US"/>
        </w:rPr>
      </w:pPr>
      <w:r w:rsidRPr="00846426">
        <w:t>A 2021 report by the Australian Senate Legal and Constitutional Affairs References Committee recommended the establishment of “a Parliamentary Office of Science, modelled on the United Kingdom Parliamentary Office of Science and Technology, to provide independent, impartial scientific advice, evidence and data to the parliament, and all Members and Senators”.</w:t>
      </w:r>
      <w:r w:rsidRPr="00846426">
        <w:rPr>
          <w:rStyle w:val="FootnoteReference"/>
        </w:rPr>
        <w:footnoteReference w:id="34"/>
      </w:r>
      <w:r w:rsidRPr="00846426">
        <w:t xml:space="preserve"> This was supported by the Australian Academy of Science, which highlighted the challenges for “non-experts to determine the authority and accuracy of information provided, particularly when committees can receive flatly contradictory advice”.</w:t>
      </w:r>
      <w:r w:rsidRPr="00846426">
        <w:rPr>
          <w:rStyle w:val="FootnoteReference"/>
        </w:rPr>
        <w:footnoteReference w:id="35"/>
      </w:r>
      <w:r w:rsidR="008C05F5">
        <w:t xml:space="preserve"> </w:t>
      </w:r>
      <w:r w:rsidR="00C72487">
        <w:rPr>
          <w:lang w:val="en-US"/>
        </w:rPr>
        <w:t>In arguing for the establishment of a Parliamentary Science Office, the Academy maintained that “Committees are not well set up to identify poor quality information and are therefore vulnerable to erroneous data and deliberate misinformation”.</w:t>
      </w:r>
      <w:r w:rsidR="00B25796">
        <w:rPr>
          <w:rStyle w:val="FootnoteReference"/>
          <w:lang w:val="en-US"/>
        </w:rPr>
        <w:footnoteReference w:id="36"/>
      </w:r>
    </w:p>
    <w:p w14:paraId="0BDAD40E" w14:textId="77777777" w:rsidR="00D04E17" w:rsidRPr="00846426" w:rsidRDefault="00D04E17" w:rsidP="00DB7EE1"/>
    <w:p w14:paraId="72C6678D" w14:textId="796F831E" w:rsidR="00DB7EE1" w:rsidRDefault="007E6A4D" w:rsidP="00DB7EE1">
      <w:r>
        <w:t>T</w:t>
      </w:r>
      <w:r w:rsidR="00270E13" w:rsidRPr="00846426">
        <w:t xml:space="preserve">he </w:t>
      </w:r>
      <w:r w:rsidR="003B321A" w:rsidRPr="00846426">
        <w:t>core tasks undertaken by bodies like TAB and POST</w:t>
      </w:r>
      <w:r w:rsidR="00DB7EE1" w:rsidRPr="00846426">
        <w:t xml:space="preserve"> require both advanced understanding of science and technology matters and highly developed novice-oriented abilities and as such should be considered a form of meta-expertise.</w:t>
      </w:r>
    </w:p>
    <w:p w14:paraId="6A99981A" w14:textId="77777777" w:rsidR="00CE4F16" w:rsidRDefault="00CE4F16" w:rsidP="00DB7EE1"/>
    <w:p w14:paraId="253E4AC4" w14:textId="2DCB7C86" w:rsidR="00BB5AAB" w:rsidRDefault="00EE7235" w:rsidP="001F24DF">
      <w:r>
        <w:t xml:space="preserve">In an Australian </w:t>
      </w:r>
      <w:r w:rsidR="009F2499">
        <w:t xml:space="preserve">context, </w:t>
      </w:r>
      <w:r w:rsidR="00902157">
        <w:t xml:space="preserve">the NSW Parliamentary Research Service </w:t>
      </w:r>
      <w:r w:rsidR="00DE35CC">
        <w:t>recently established a service for sourcing independent, objective analysis and advice from external experts on complex and technical matters, a resource that is available to committees as needed. This fo</w:t>
      </w:r>
      <w:r w:rsidR="005C08A3">
        <w:t>llowed a</w:t>
      </w:r>
      <w:r w:rsidR="00F24C17">
        <w:t xml:space="preserve"> 2019</w:t>
      </w:r>
      <w:r w:rsidR="00DC57BD">
        <w:t xml:space="preserve"> examination of </w:t>
      </w:r>
      <w:r w:rsidR="00E1576D">
        <w:t>how committees</w:t>
      </w:r>
      <w:r w:rsidR="00F24C17">
        <w:t xml:space="preserve"> could benefit from the assistance of experts external to the Parliament</w:t>
      </w:r>
      <w:r w:rsidR="00EC6E3C">
        <w:t>, conducted by t</w:t>
      </w:r>
      <w:r w:rsidR="000038ED">
        <w:t>he NSW Legislative Council’s Procedure Committee</w:t>
      </w:r>
      <w:r w:rsidR="00EC6E3C">
        <w:t>.</w:t>
      </w:r>
      <w:r w:rsidR="00B640D7">
        <w:rPr>
          <w:rStyle w:val="FootnoteReference"/>
        </w:rPr>
        <w:footnoteReference w:id="37"/>
      </w:r>
      <w:r w:rsidR="005C776F">
        <w:t xml:space="preserve"> </w:t>
      </w:r>
    </w:p>
    <w:p w14:paraId="4442FC6E" w14:textId="77777777" w:rsidR="008656BB" w:rsidRDefault="008656BB" w:rsidP="001F24DF"/>
    <w:p w14:paraId="2920B0D0" w14:textId="4299BA79" w:rsidR="008E396B" w:rsidRDefault="00E910B4" w:rsidP="001F24DF">
      <w:r w:rsidRPr="00846426">
        <w:t>In their</w:t>
      </w:r>
      <w:r w:rsidR="008147A5" w:rsidRPr="00846426">
        <w:t xml:space="preserve"> role </w:t>
      </w:r>
      <w:r w:rsidR="00AD2C5B" w:rsidRPr="00846426">
        <w:t xml:space="preserve">of </w:t>
      </w:r>
      <w:r w:rsidR="00AF1AD5" w:rsidRPr="00846426">
        <w:t>investigating issues and</w:t>
      </w:r>
      <w:r w:rsidR="000015FF" w:rsidRPr="00846426">
        <w:t xml:space="preserve"> legislation</w:t>
      </w:r>
      <w:r w:rsidR="00E24964" w:rsidRPr="00846426">
        <w:t xml:space="preserve">, </w:t>
      </w:r>
      <w:r w:rsidR="009577C7" w:rsidRPr="00846426">
        <w:t xml:space="preserve">the work of </w:t>
      </w:r>
      <w:r w:rsidR="00AD2C5B" w:rsidRPr="00846426">
        <w:t>p</w:t>
      </w:r>
      <w:r w:rsidR="007B3173" w:rsidRPr="00846426">
        <w:t xml:space="preserve">arliamentary committees </w:t>
      </w:r>
      <w:r w:rsidR="009577C7" w:rsidRPr="00846426">
        <w:t>includes finding out the facts of an issue, examining witnesses, reviewing evidence and drawing reasoned conclusions.</w:t>
      </w:r>
      <w:r w:rsidR="009577C7" w:rsidRPr="00846426">
        <w:rPr>
          <w:rStyle w:val="FootnoteReference"/>
        </w:rPr>
        <w:footnoteReference w:id="38"/>
      </w:r>
      <w:r w:rsidR="00F91C1F" w:rsidRPr="00846426">
        <w:t xml:space="preserve"> </w:t>
      </w:r>
      <w:r w:rsidR="00BB5AAB">
        <w:t xml:space="preserve">While </w:t>
      </w:r>
      <w:r w:rsidR="00A06764">
        <w:t xml:space="preserve">committee work </w:t>
      </w:r>
      <w:r w:rsidR="00BA7642">
        <w:t>involves the use of meta-expertise</w:t>
      </w:r>
      <w:r w:rsidR="00607E9E">
        <w:t>—</w:t>
      </w:r>
      <w:r w:rsidR="000D4301">
        <w:t xml:space="preserve">for example, </w:t>
      </w:r>
      <w:r w:rsidR="00513C9D">
        <w:t>in the selection of expert witnesses to invite to committee hearings—</w:t>
      </w:r>
      <w:r w:rsidR="002F7E98">
        <w:t xml:space="preserve">committees </w:t>
      </w:r>
      <w:r w:rsidR="008E396B">
        <w:t>are not a focus of this paper.</w:t>
      </w:r>
    </w:p>
    <w:p w14:paraId="040883C0" w14:textId="54E49CA1" w:rsidR="0012121C" w:rsidRPr="00846426" w:rsidRDefault="006130D0" w:rsidP="009D6688">
      <w:pPr>
        <w:pStyle w:val="Heading2"/>
      </w:pPr>
      <w:r w:rsidRPr="00846426">
        <w:t>Discussion: i</w:t>
      </w:r>
      <w:r w:rsidR="0012121C" w:rsidRPr="00846426">
        <w:t>mplications and future research</w:t>
      </w:r>
    </w:p>
    <w:p w14:paraId="4813D098" w14:textId="2E56530B" w:rsidR="00D9097E" w:rsidRPr="00846426" w:rsidRDefault="00307151" w:rsidP="00307151">
      <w:r w:rsidRPr="00846426">
        <w:rPr>
          <w:rFonts w:eastAsia="Times New Roman"/>
        </w:rPr>
        <w:t>The purpose of the above has not been to suggest that meta-expertise is anything particularly new but rather to clarify i</w:t>
      </w:r>
      <w:r w:rsidR="00465F23" w:rsidRPr="00846426">
        <w:rPr>
          <w:rFonts w:eastAsia="Times New Roman"/>
        </w:rPr>
        <w:t xml:space="preserve">ts </w:t>
      </w:r>
      <w:r w:rsidR="00A300D0" w:rsidRPr="00846426">
        <w:rPr>
          <w:rFonts w:eastAsia="Times New Roman"/>
        </w:rPr>
        <w:t xml:space="preserve">role as a </w:t>
      </w:r>
      <w:r w:rsidR="000C2AF7" w:rsidRPr="00846426">
        <w:rPr>
          <w:rFonts w:eastAsia="Times New Roman"/>
        </w:rPr>
        <w:t>discrete</w:t>
      </w:r>
      <w:r w:rsidR="002F6D8F" w:rsidRPr="00846426">
        <w:rPr>
          <w:rFonts w:eastAsia="Times New Roman"/>
        </w:rPr>
        <w:t xml:space="preserve"> and </w:t>
      </w:r>
      <w:r w:rsidR="007E3C7E" w:rsidRPr="00846426">
        <w:rPr>
          <w:rFonts w:eastAsia="Times New Roman"/>
        </w:rPr>
        <w:t>necessary</w:t>
      </w:r>
      <w:r w:rsidR="009E4123" w:rsidRPr="00846426">
        <w:rPr>
          <w:rFonts w:eastAsia="Times New Roman"/>
        </w:rPr>
        <w:t xml:space="preserve"> </w:t>
      </w:r>
      <w:r w:rsidR="00D6578B" w:rsidRPr="00846426">
        <w:rPr>
          <w:rFonts w:eastAsia="Times New Roman"/>
        </w:rPr>
        <w:t xml:space="preserve">feature </w:t>
      </w:r>
      <w:r w:rsidR="008C0ED9" w:rsidRPr="00846426">
        <w:rPr>
          <w:rFonts w:eastAsia="Times New Roman"/>
        </w:rPr>
        <w:t xml:space="preserve">of </w:t>
      </w:r>
      <w:r w:rsidR="00D6578B" w:rsidRPr="00846426">
        <w:rPr>
          <w:rFonts w:eastAsia="Times New Roman"/>
        </w:rPr>
        <w:t>the</w:t>
      </w:r>
      <w:r w:rsidR="008F06F9" w:rsidRPr="00846426">
        <w:t xml:space="preserve"> social distribution of knowledge</w:t>
      </w:r>
      <w:r w:rsidR="00525642" w:rsidRPr="00846426">
        <w:t xml:space="preserve"> and to high</w:t>
      </w:r>
      <w:r w:rsidR="00B8061C" w:rsidRPr="00846426">
        <w:t xml:space="preserve">light its </w:t>
      </w:r>
      <w:r w:rsidR="00553820" w:rsidRPr="00846426">
        <w:t>value to the work of parliaments.</w:t>
      </w:r>
      <w:r w:rsidR="00324F49" w:rsidRPr="00846426">
        <w:t xml:space="preserve"> </w:t>
      </w:r>
      <w:r w:rsidR="001F4052" w:rsidRPr="00846426">
        <w:t xml:space="preserve">Greater and greater </w:t>
      </w:r>
      <w:r w:rsidR="00E61634" w:rsidRPr="00846426">
        <w:t>volumes of inform</w:t>
      </w:r>
      <w:r w:rsidR="008052DD" w:rsidRPr="00846426">
        <w:t xml:space="preserve">ation, </w:t>
      </w:r>
      <w:r w:rsidR="001F4052" w:rsidRPr="00846426">
        <w:t>specialisation</w:t>
      </w:r>
      <w:r w:rsidR="00AF3AFE" w:rsidRPr="00846426">
        <w:t xml:space="preserve">, </w:t>
      </w:r>
      <w:r w:rsidR="001F4052" w:rsidRPr="00846426">
        <w:t xml:space="preserve">complexity </w:t>
      </w:r>
      <w:r w:rsidR="00AF3AFE" w:rsidRPr="00846426">
        <w:t xml:space="preserve">and uncertainty </w:t>
      </w:r>
      <w:r w:rsidR="001F4052" w:rsidRPr="00846426">
        <w:t>mean that t</w:t>
      </w:r>
      <w:r w:rsidR="00A844BD" w:rsidRPr="00846426">
        <w:t xml:space="preserve">he daunting epistemic gap between high level expertise and </w:t>
      </w:r>
      <w:r w:rsidR="00327F77" w:rsidRPr="00846426">
        <w:t xml:space="preserve">non-experts is only likely to </w:t>
      </w:r>
      <w:r w:rsidR="001F4052" w:rsidRPr="00846426">
        <w:t xml:space="preserve">become more and more daunting. </w:t>
      </w:r>
      <w:r w:rsidR="00CD78B4" w:rsidRPr="00846426">
        <w:t xml:space="preserve">Parliaments will increasingly require </w:t>
      </w:r>
      <w:r w:rsidR="00DE46E4" w:rsidRPr="00846426">
        <w:t xml:space="preserve">highly capable intermediate experts to </w:t>
      </w:r>
      <w:r w:rsidR="00B16CA2" w:rsidRPr="00846426">
        <w:t xml:space="preserve">assist </w:t>
      </w:r>
      <w:r w:rsidR="00144073" w:rsidRPr="00846426">
        <w:t xml:space="preserve">with </w:t>
      </w:r>
      <w:r w:rsidR="004A604E" w:rsidRPr="00846426">
        <w:t>(</w:t>
      </w:r>
      <w:r w:rsidR="001F20B6" w:rsidRPr="00846426">
        <w:t xml:space="preserve">quickly) </w:t>
      </w:r>
      <w:r w:rsidR="00AE201C" w:rsidRPr="00846426">
        <w:t xml:space="preserve">understanding complex research, </w:t>
      </w:r>
      <w:r w:rsidR="00A812F1" w:rsidRPr="00846426">
        <w:t xml:space="preserve">making and scrutinising decisions and representing </w:t>
      </w:r>
      <w:r w:rsidR="00406250" w:rsidRPr="00846426">
        <w:t>citizens.</w:t>
      </w:r>
      <w:r w:rsidR="000A79F5" w:rsidRPr="00846426">
        <w:t xml:space="preserve"> </w:t>
      </w:r>
    </w:p>
    <w:p w14:paraId="2A4F6F40" w14:textId="77777777" w:rsidR="00D9097E" w:rsidRPr="00846426" w:rsidRDefault="00D9097E" w:rsidP="00307151"/>
    <w:p w14:paraId="7FEF0BC8" w14:textId="180D8356" w:rsidR="00BC26D5" w:rsidRPr="006C0B1A" w:rsidRDefault="00D9097E" w:rsidP="00717204">
      <w:pPr>
        <w:rPr>
          <w:rFonts w:eastAsia="Times New Roman"/>
        </w:rPr>
      </w:pPr>
      <w:r w:rsidRPr="00846426">
        <w:t>By i</w:t>
      </w:r>
      <w:r w:rsidR="00E333B6" w:rsidRPr="00846426">
        <w:t xml:space="preserve">dentifying </w:t>
      </w:r>
      <w:r w:rsidR="00406250" w:rsidRPr="00846426">
        <w:t>meta-expertise</w:t>
      </w:r>
      <w:r w:rsidR="00331058" w:rsidRPr="00846426">
        <w:t xml:space="preserve"> a</w:t>
      </w:r>
      <w:r w:rsidR="00406250" w:rsidRPr="00846426">
        <w:t>s</w:t>
      </w:r>
      <w:r w:rsidR="00331058" w:rsidRPr="00846426">
        <w:t xml:space="preserve"> </w:t>
      </w:r>
      <w:r w:rsidR="00DD1942" w:rsidRPr="00846426">
        <w:t>specific form of expertise</w:t>
      </w:r>
      <w:r w:rsidR="000A03DB" w:rsidRPr="00846426">
        <w:t xml:space="preserve"> within parliaments</w:t>
      </w:r>
      <w:r w:rsidR="004A59EF" w:rsidRPr="00846426">
        <w:t xml:space="preserve">, </w:t>
      </w:r>
      <w:r w:rsidR="00E967BE" w:rsidRPr="00846426">
        <w:t>our intention is</w:t>
      </w:r>
      <w:r w:rsidR="002F2C0F" w:rsidRPr="00846426">
        <w:t xml:space="preserve"> </w:t>
      </w:r>
      <w:r w:rsidR="00DB3CC0" w:rsidRPr="00846426">
        <w:t xml:space="preserve">not just to </w:t>
      </w:r>
      <w:r w:rsidR="008412F2" w:rsidRPr="00846426">
        <w:t xml:space="preserve">highlight its current role but also suggest </w:t>
      </w:r>
      <w:r w:rsidR="00CB2620" w:rsidRPr="00846426">
        <w:t xml:space="preserve">it as something that can be </w:t>
      </w:r>
      <w:r w:rsidR="008C0ED9" w:rsidRPr="00846426">
        <w:t xml:space="preserve">improved on </w:t>
      </w:r>
      <w:r w:rsidR="00814772" w:rsidRPr="00846426">
        <w:t xml:space="preserve">or </w:t>
      </w:r>
      <w:r w:rsidR="005F091C" w:rsidRPr="00846426">
        <w:t>perfected</w:t>
      </w:r>
      <w:r w:rsidR="00814772" w:rsidRPr="00846426">
        <w:t xml:space="preserve">. </w:t>
      </w:r>
      <w:r w:rsidR="00497E84" w:rsidRPr="00846426">
        <w:t xml:space="preserve">This means asking questions about the strengths and limitations </w:t>
      </w:r>
      <w:r w:rsidR="00717204" w:rsidRPr="00846426">
        <w:t xml:space="preserve">of </w:t>
      </w:r>
      <w:r w:rsidR="00717204" w:rsidRPr="00846426">
        <w:rPr>
          <w:rFonts w:eastAsia="Times New Roman"/>
        </w:rPr>
        <w:t xml:space="preserve">the current </w:t>
      </w:r>
      <w:r w:rsidR="00BC26D5" w:rsidRPr="00846426">
        <w:rPr>
          <w:rFonts w:eastAsia="Times New Roman"/>
        </w:rPr>
        <w:t>institutional forms of meta-expertise</w:t>
      </w:r>
      <w:r w:rsidR="00717204" w:rsidRPr="00846426">
        <w:rPr>
          <w:rFonts w:eastAsia="Times New Roman"/>
        </w:rPr>
        <w:t xml:space="preserve"> in </w:t>
      </w:r>
      <w:r w:rsidR="00717204" w:rsidRPr="006C0B1A">
        <w:rPr>
          <w:rFonts w:eastAsia="Times New Roman"/>
        </w:rPr>
        <w:t>parliaments</w:t>
      </w:r>
      <w:r w:rsidR="00A6314F" w:rsidRPr="006C0B1A">
        <w:rPr>
          <w:rFonts w:eastAsia="Times New Roman"/>
        </w:rPr>
        <w:t xml:space="preserve"> </w:t>
      </w:r>
      <w:r w:rsidR="00FC4410" w:rsidRPr="006C0B1A">
        <w:rPr>
          <w:rFonts w:eastAsia="Times New Roman"/>
        </w:rPr>
        <w:t xml:space="preserve">(as well as policy advisory systems </w:t>
      </w:r>
      <w:r w:rsidR="00310579" w:rsidRPr="006C0B1A">
        <w:rPr>
          <w:rFonts w:eastAsia="Times New Roman"/>
        </w:rPr>
        <w:t xml:space="preserve">outside of </w:t>
      </w:r>
      <w:r w:rsidR="005D7BD5" w:rsidRPr="006C0B1A">
        <w:rPr>
          <w:rFonts w:eastAsia="Times New Roman"/>
        </w:rPr>
        <w:t xml:space="preserve">parliaments) </w:t>
      </w:r>
      <w:r w:rsidR="00A6314F" w:rsidRPr="006C0B1A">
        <w:rPr>
          <w:rFonts w:eastAsia="Times New Roman"/>
        </w:rPr>
        <w:t>and</w:t>
      </w:r>
      <w:r w:rsidR="00BC26D5" w:rsidRPr="006C0B1A">
        <w:rPr>
          <w:rFonts w:eastAsia="Times New Roman"/>
        </w:rPr>
        <w:t xml:space="preserve"> </w:t>
      </w:r>
      <w:r w:rsidR="00717204" w:rsidRPr="006C0B1A">
        <w:rPr>
          <w:rFonts w:eastAsia="Times New Roman"/>
        </w:rPr>
        <w:t xml:space="preserve">what </w:t>
      </w:r>
      <w:r w:rsidR="00A6314F" w:rsidRPr="006C0B1A">
        <w:rPr>
          <w:rFonts w:eastAsia="Times New Roman"/>
        </w:rPr>
        <w:t>might be</w:t>
      </w:r>
      <w:r w:rsidR="00BC26D5" w:rsidRPr="006C0B1A">
        <w:rPr>
          <w:rFonts w:eastAsia="Times New Roman"/>
        </w:rPr>
        <w:t xml:space="preserve"> the optimal arrangements under which </w:t>
      </w:r>
      <w:r w:rsidR="00A6314F" w:rsidRPr="006C0B1A">
        <w:rPr>
          <w:rFonts w:eastAsia="Times New Roman"/>
        </w:rPr>
        <w:t xml:space="preserve">they perform their roles. </w:t>
      </w:r>
    </w:p>
    <w:p w14:paraId="26B54BA9" w14:textId="77777777" w:rsidR="00A6314F" w:rsidRPr="006C0B1A" w:rsidRDefault="00A6314F" w:rsidP="00717204">
      <w:pPr>
        <w:rPr>
          <w:rFonts w:eastAsia="Times New Roman"/>
        </w:rPr>
      </w:pPr>
    </w:p>
    <w:p w14:paraId="4431BD40" w14:textId="77777777" w:rsidR="006D2BE1" w:rsidRDefault="00F638E6" w:rsidP="00F17150">
      <w:pPr>
        <w:rPr>
          <w:rFonts w:eastAsia="Times New Roman"/>
        </w:rPr>
      </w:pPr>
      <w:r w:rsidRPr="006C0B1A">
        <w:rPr>
          <w:rFonts w:eastAsia="Times New Roman"/>
        </w:rPr>
        <w:t xml:space="preserve">One set of questions </w:t>
      </w:r>
      <w:r w:rsidR="00847E20" w:rsidRPr="006C0B1A">
        <w:rPr>
          <w:rFonts w:eastAsia="Times New Roman"/>
        </w:rPr>
        <w:t xml:space="preserve">is about </w:t>
      </w:r>
      <w:r w:rsidR="00E937D3" w:rsidRPr="006C0B1A">
        <w:rPr>
          <w:rFonts w:eastAsia="Times New Roman"/>
        </w:rPr>
        <w:t>ensuring</w:t>
      </w:r>
      <w:r w:rsidR="793A73B2" w:rsidRPr="006C0B1A">
        <w:rPr>
          <w:rFonts w:eastAsia="Times New Roman"/>
        </w:rPr>
        <w:t xml:space="preserve"> research </w:t>
      </w:r>
      <w:r w:rsidR="00025CAD" w:rsidRPr="006C0B1A">
        <w:rPr>
          <w:rFonts w:eastAsia="Times New Roman"/>
        </w:rPr>
        <w:t>is of the highest quality</w:t>
      </w:r>
      <w:r w:rsidR="0042143B" w:rsidRPr="006C0B1A">
        <w:rPr>
          <w:rFonts w:eastAsia="Times New Roman"/>
        </w:rPr>
        <w:t xml:space="preserve">; that is, </w:t>
      </w:r>
      <w:r w:rsidR="00944B4B" w:rsidRPr="006C0B1A">
        <w:rPr>
          <w:rFonts w:eastAsia="Times New Roman"/>
        </w:rPr>
        <w:t>accurate, based on a sound understanding of the subject area</w:t>
      </w:r>
      <w:r w:rsidR="00FE43CC" w:rsidRPr="006C0B1A">
        <w:rPr>
          <w:rFonts w:eastAsia="Times New Roman"/>
        </w:rPr>
        <w:t xml:space="preserve">, </w:t>
      </w:r>
      <w:r w:rsidR="00922C15" w:rsidRPr="006C0B1A">
        <w:rPr>
          <w:rFonts w:eastAsia="Times New Roman"/>
        </w:rPr>
        <w:t xml:space="preserve">oriented towards the needs of </w:t>
      </w:r>
      <w:r w:rsidR="00C24115" w:rsidRPr="006C0B1A">
        <w:rPr>
          <w:rFonts w:eastAsia="Times New Roman"/>
        </w:rPr>
        <w:t>parliament</w:t>
      </w:r>
      <w:r w:rsidR="001175D7" w:rsidRPr="006C0B1A">
        <w:rPr>
          <w:rFonts w:eastAsia="Times New Roman"/>
        </w:rPr>
        <w:t xml:space="preserve">. </w:t>
      </w:r>
      <w:r w:rsidR="1ACB95B8" w:rsidRPr="006C0B1A">
        <w:rPr>
          <w:rFonts w:eastAsia="Times New Roman"/>
        </w:rPr>
        <w:t xml:space="preserve"> </w:t>
      </w:r>
      <w:r w:rsidR="006D2BE1" w:rsidRPr="006C0B1A">
        <w:rPr>
          <w:rFonts w:eastAsia="Times New Roman"/>
        </w:rPr>
        <w:t>For example:</w:t>
      </w:r>
    </w:p>
    <w:p w14:paraId="4BB89776" w14:textId="77777777" w:rsidR="00327E8E" w:rsidRPr="006C0B1A" w:rsidRDefault="00327E8E" w:rsidP="00F17150">
      <w:pPr>
        <w:rPr>
          <w:rFonts w:eastAsia="Times New Roman"/>
        </w:rPr>
      </w:pPr>
    </w:p>
    <w:p w14:paraId="4519522F" w14:textId="77777777" w:rsidR="00975BEB" w:rsidRPr="006C0B1A" w:rsidRDefault="00456BAA" w:rsidP="00975BEB">
      <w:pPr>
        <w:pStyle w:val="ListParagraph"/>
        <w:numPr>
          <w:ilvl w:val="0"/>
          <w:numId w:val="12"/>
        </w:numPr>
        <w:rPr>
          <w:rFonts w:eastAsia="Times New Roman"/>
        </w:rPr>
      </w:pPr>
      <w:r w:rsidRPr="006C0B1A">
        <w:rPr>
          <w:rFonts w:eastAsia="Times New Roman"/>
        </w:rPr>
        <w:t>Is this primarily a matter of recruitment</w:t>
      </w:r>
      <w:r w:rsidR="00B201EF" w:rsidRPr="006C0B1A">
        <w:rPr>
          <w:rFonts w:eastAsia="Times New Roman"/>
        </w:rPr>
        <w:t xml:space="preserve">, development and retention practices? </w:t>
      </w:r>
    </w:p>
    <w:p w14:paraId="14A86A1D" w14:textId="77777777" w:rsidR="005109BC" w:rsidRPr="006C0B1A" w:rsidRDefault="005B7806" w:rsidP="00975BEB">
      <w:pPr>
        <w:pStyle w:val="ListParagraph"/>
        <w:numPr>
          <w:ilvl w:val="0"/>
          <w:numId w:val="12"/>
        </w:numPr>
        <w:rPr>
          <w:rFonts w:eastAsia="Times New Roman"/>
        </w:rPr>
      </w:pPr>
      <w:r w:rsidRPr="006C0B1A">
        <w:rPr>
          <w:rFonts w:eastAsia="Times New Roman"/>
        </w:rPr>
        <w:t>What is the appropriate balance between specialisation and general research skills?</w:t>
      </w:r>
    </w:p>
    <w:p w14:paraId="1C41BDBD" w14:textId="77777777" w:rsidR="005109BC" w:rsidRPr="006C0B1A" w:rsidRDefault="00B201EF" w:rsidP="00975BEB">
      <w:pPr>
        <w:pStyle w:val="ListParagraph"/>
        <w:numPr>
          <w:ilvl w:val="0"/>
          <w:numId w:val="12"/>
        </w:numPr>
        <w:rPr>
          <w:rFonts w:eastAsia="Times New Roman"/>
        </w:rPr>
      </w:pPr>
      <w:r w:rsidRPr="006C0B1A">
        <w:rPr>
          <w:rFonts w:eastAsia="Times New Roman"/>
        </w:rPr>
        <w:t xml:space="preserve">What </w:t>
      </w:r>
      <w:r w:rsidR="00B0613A" w:rsidRPr="006C0B1A">
        <w:rPr>
          <w:rFonts w:eastAsia="Times New Roman"/>
        </w:rPr>
        <w:t xml:space="preserve">service models and </w:t>
      </w:r>
      <w:r w:rsidR="004235D7" w:rsidRPr="006C0B1A">
        <w:rPr>
          <w:rFonts w:eastAsia="Times New Roman"/>
        </w:rPr>
        <w:t xml:space="preserve">quality control practices are best? </w:t>
      </w:r>
    </w:p>
    <w:p w14:paraId="5E6BF50B" w14:textId="1BFB8C4A" w:rsidR="00885890" w:rsidRPr="006C0B1A" w:rsidRDefault="00D86F6E" w:rsidP="00975BEB">
      <w:pPr>
        <w:pStyle w:val="ListParagraph"/>
        <w:numPr>
          <w:ilvl w:val="0"/>
          <w:numId w:val="12"/>
        </w:numPr>
        <w:rPr>
          <w:rFonts w:eastAsia="Times New Roman"/>
        </w:rPr>
      </w:pPr>
      <w:r w:rsidRPr="006C0B1A">
        <w:rPr>
          <w:rFonts w:eastAsia="Times New Roman"/>
        </w:rPr>
        <w:t xml:space="preserve">Is greater contestability of </w:t>
      </w:r>
      <w:r w:rsidR="008D7902" w:rsidRPr="006C0B1A">
        <w:rPr>
          <w:rFonts w:eastAsia="Times New Roman"/>
        </w:rPr>
        <w:t xml:space="preserve">expert </w:t>
      </w:r>
      <w:r w:rsidR="00CF5C1D" w:rsidRPr="006C0B1A">
        <w:rPr>
          <w:rFonts w:eastAsia="Times New Roman"/>
        </w:rPr>
        <w:t xml:space="preserve">views </w:t>
      </w:r>
      <w:r w:rsidR="008941EC" w:rsidRPr="006C0B1A">
        <w:rPr>
          <w:rFonts w:eastAsia="Times New Roman"/>
        </w:rPr>
        <w:t xml:space="preserve">within the </w:t>
      </w:r>
      <w:r w:rsidR="00CF5C1D" w:rsidRPr="006C0B1A">
        <w:rPr>
          <w:rFonts w:eastAsia="Times New Roman"/>
        </w:rPr>
        <w:t xml:space="preserve">institutions </w:t>
      </w:r>
      <w:r w:rsidR="008A41B9" w:rsidRPr="006C0B1A">
        <w:rPr>
          <w:rFonts w:eastAsia="Times New Roman"/>
        </w:rPr>
        <w:t>a viable option</w:t>
      </w:r>
      <w:r w:rsidR="00EB3E9F" w:rsidRPr="006C0B1A">
        <w:rPr>
          <w:rFonts w:eastAsia="Times New Roman"/>
        </w:rPr>
        <w:t>?</w:t>
      </w:r>
      <w:r w:rsidR="00FC600E" w:rsidRPr="006C0B1A">
        <w:rPr>
          <w:rFonts w:eastAsia="Times New Roman"/>
        </w:rPr>
        <w:t xml:space="preserve"> (or how might </w:t>
      </w:r>
      <w:r w:rsidR="005C41C9" w:rsidRPr="006C0B1A">
        <w:rPr>
          <w:rFonts w:eastAsia="Times New Roman"/>
        </w:rPr>
        <w:t xml:space="preserve">meta-experts within the institutions make greater use of </w:t>
      </w:r>
      <w:r w:rsidR="00EB3E9F" w:rsidRPr="006C0B1A">
        <w:rPr>
          <w:rFonts w:eastAsia="Times New Roman"/>
        </w:rPr>
        <w:t>contestability among external experts?)</w:t>
      </w:r>
      <w:r w:rsidR="00BC42BE" w:rsidRPr="006C0B1A">
        <w:rPr>
          <w:rStyle w:val="FootnoteReference"/>
          <w:rFonts w:eastAsia="Times New Roman"/>
        </w:rPr>
        <w:footnoteReference w:id="39"/>
      </w:r>
      <w:r w:rsidR="002A2E7D" w:rsidRPr="006C0B1A">
        <w:rPr>
          <w:rFonts w:eastAsia="Times New Roman"/>
        </w:rPr>
        <w:t xml:space="preserve"> </w:t>
      </w:r>
    </w:p>
    <w:p w14:paraId="77F6B8FA" w14:textId="751B427A" w:rsidR="00A25D17" w:rsidRPr="006C0B1A" w:rsidRDefault="00280707" w:rsidP="00975BEB">
      <w:pPr>
        <w:pStyle w:val="ListParagraph"/>
        <w:numPr>
          <w:ilvl w:val="0"/>
          <w:numId w:val="12"/>
        </w:numPr>
        <w:rPr>
          <w:rFonts w:eastAsia="Times New Roman"/>
        </w:rPr>
      </w:pPr>
      <w:r w:rsidRPr="006C0B1A">
        <w:rPr>
          <w:rFonts w:eastAsia="Times New Roman"/>
        </w:rPr>
        <w:t xml:space="preserve">How might the various </w:t>
      </w:r>
      <w:r w:rsidR="0088545D" w:rsidRPr="006C0B1A">
        <w:rPr>
          <w:rFonts w:eastAsia="Times New Roman"/>
        </w:rPr>
        <w:t>strands of expertise within a parliam</w:t>
      </w:r>
      <w:r w:rsidR="00953AEE" w:rsidRPr="006C0B1A">
        <w:rPr>
          <w:rFonts w:eastAsia="Times New Roman"/>
        </w:rPr>
        <w:t xml:space="preserve">ent </w:t>
      </w:r>
      <w:r w:rsidR="00BE29A0" w:rsidRPr="006C0B1A">
        <w:rPr>
          <w:rFonts w:eastAsia="Times New Roman"/>
        </w:rPr>
        <w:t xml:space="preserve">(expert bodies and committees) </w:t>
      </w:r>
      <w:r w:rsidR="00953AEE" w:rsidRPr="006C0B1A">
        <w:rPr>
          <w:rFonts w:eastAsia="Times New Roman"/>
        </w:rPr>
        <w:t>operate more effectively together in pursuit of quality?</w:t>
      </w:r>
    </w:p>
    <w:p w14:paraId="1693226A" w14:textId="77777777" w:rsidR="00A25D17" w:rsidRPr="00846426" w:rsidRDefault="00A25D17" w:rsidP="00F17150">
      <w:pPr>
        <w:rPr>
          <w:rFonts w:eastAsia="Times New Roman"/>
        </w:rPr>
      </w:pPr>
    </w:p>
    <w:p w14:paraId="692495CC" w14:textId="2DBFE401" w:rsidR="00A25D17" w:rsidRPr="00846426" w:rsidRDefault="002602E3" w:rsidP="00F17150">
      <w:pPr>
        <w:rPr>
          <w:rFonts w:eastAsia="Times New Roman"/>
        </w:rPr>
      </w:pPr>
      <w:r w:rsidRPr="00846426">
        <w:rPr>
          <w:rFonts w:eastAsia="Times New Roman"/>
        </w:rPr>
        <w:t>Further, p</w:t>
      </w:r>
      <w:r w:rsidR="00590736" w:rsidRPr="00846426">
        <w:rPr>
          <w:rFonts w:eastAsia="Times New Roman"/>
        </w:rPr>
        <w:t xml:space="preserve">arliamentary </w:t>
      </w:r>
      <w:r w:rsidR="00E95C2A" w:rsidRPr="00846426">
        <w:rPr>
          <w:rFonts w:eastAsia="Times New Roman"/>
        </w:rPr>
        <w:t>research</w:t>
      </w:r>
      <w:r w:rsidR="00DE46DD" w:rsidRPr="00846426">
        <w:rPr>
          <w:rFonts w:eastAsia="Times New Roman"/>
        </w:rPr>
        <w:t xml:space="preserve"> institutions</w:t>
      </w:r>
      <w:r w:rsidR="00A37652" w:rsidRPr="00846426">
        <w:rPr>
          <w:rFonts w:eastAsia="Times New Roman"/>
        </w:rPr>
        <w:t xml:space="preserve"> </w:t>
      </w:r>
      <w:r w:rsidR="007A6BB0" w:rsidRPr="00846426">
        <w:rPr>
          <w:rFonts w:eastAsia="Times New Roman"/>
        </w:rPr>
        <w:t xml:space="preserve">must </w:t>
      </w:r>
      <w:r w:rsidR="0033087D" w:rsidRPr="00846426">
        <w:rPr>
          <w:rFonts w:eastAsia="Times New Roman"/>
        </w:rPr>
        <w:t xml:space="preserve">balance independence and autonomy with the need to ensure they are </w:t>
      </w:r>
      <w:r w:rsidR="00695A90" w:rsidRPr="00846426">
        <w:rPr>
          <w:rFonts w:eastAsia="Times New Roman"/>
        </w:rPr>
        <w:t>directly focused on the needs of parliaments. As Miller et al note:</w:t>
      </w:r>
    </w:p>
    <w:p w14:paraId="5AC8F47B" w14:textId="77777777" w:rsidR="00695A90" w:rsidRPr="00846426" w:rsidRDefault="00695A90" w:rsidP="00F17150">
      <w:pPr>
        <w:rPr>
          <w:rFonts w:eastAsia="Times New Roman"/>
        </w:rPr>
      </w:pPr>
    </w:p>
    <w:p w14:paraId="4D249F4E" w14:textId="3F9B64DA" w:rsidR="00695A90" w:rsidRPr="00846426" w:rsidRDefault="00695A90" w:rsidP="00695A90">
      <w:pPr>
        <w:ind w:left="720"/>
        <w:rPr>
          <w:rFonts w:eastAsia="Times New Roman"/>
        </w:rPr>
      </w:pPr>
      <w:r w:rsidRPr="00846426">
        <w:rPr>
          <w:rFonts w:eastAsia="Times New Roman"/>
        </w:rPr>
        <w:t xml:space="preserve">To perform their task adequately, parliamentary institutes need to be operationally autonomous. They need to be free of government control, of partisan influence </w:t>
      </w:r>
      <w:proofErr w:type="gramStart"/>
      <w:r w:rsidRPr="00846426">
        <w:rPr>
          <w:rFonts w:eastAsia="Times New Roman"/>
        </w:rPr>
        <w:t>and also</w:t>
      </w:r>
      <w:proofErr w:type="gramEnd"/>
      <w:r w:rsidRPr="00846426">
        <w:rPr>
          <w:rFonts w:eastAsia="Times New Roman"/>
        </w:rPr>
        <w:t xml:space="preserve"> of the influence of other institutional figures such as the Speaker of the House. Should </w:t>
      </w:r>
      <w:r w:rsidRPr="00846426">
        <w:rPr>
          <w:rFonts w:eastAsia="Times New Roman"/>
        </w:rPr>
        <w:lastRenderedPageBreak/>
        <w:t>parliamentary institutes be influenced by the Speaker, by one of the parliamentary parties or by the government, they would not be able to gather and provide free and reliable information</w:t>
      </w:r>
      <w:r w:rsidR="00695F72" w:rsidRPr="00846426">
        <w:rPr>
          <w:rFonts w:eastAsia="Times New Roman"/>
        </w:rPr>
        <w:t xml:space="preserve"> … </w:t>
      </w:r>
      <w:r w:rsidR="00BE0EA7" w:rsidRPr="00846426">
        <w:rPr>
          <w:rStyle w:val="FootnoteReference"/>
          <w:rFonts w:eastAsia="Times New Roman"/>
        </w:rPr>
        <w:footnoteReference w:id="40"/>
      </w:r>
    </w:p>
    <w:p w14:paraId="46B8BB7E" w14:textId="77777777" w:rsidR="00590736" w:rsidRPr="00846426" w:rsidRDefault="00590736" w:rsidP="00F17150">
      <w:pPr>
        <w:rPr>
          <w:rFonts w:eastAsia="Times New Roman"/>
        </w:rPr>
      </w:pPr>
    </w:p>
    <w:p w14:paraId="6D950C71" w14:textId="0A5BD8FA" w:rsidR="00F512F2" w:rsidRPr="00846426" w:rsidRDefault="00735CF6" w:rsidP="00F17150">
      <w:pPr>
        <w:rPr>
          <w:rFonts w:eastAsia="Times New Roman"/>
        </w:rPr>
      </w:pPr>
      <w:r w:rsidRPr="00846426">
        <w:rPr>
          <w:rFonts w:eastAsia="Times New Roman"/>
        </w:rPr>
        <w:t>Similarly</w:t>
      </w:r>
      <w:r w:rsidR="00E95C2A" w:rsidRPr="00846426">
        <w:rPr>
          <w:rFonts w:eastAsia="Times New Roman"/>
        </w:rPr>
        <w:t xml:space="preserve">, </w:t>
      </w:r>
      <w:r w:rsidR="00DE46DD" w:rsidRPr="00846426">
        <w:rPr>
          <w:rFonts w:eastAsia="Times New Roman"/>
        </w:rPr>
        <w:t xml:space="preserve">they must avoid </w:t>
      </w:r>
      <w:r w:rsidR="005D2F22" w:rsidRPr="00846426">
        <w:rPr>
          <w:rFonts w:eastAsia="Times New Roman"/>
        </w:rPr>
        <w:t>bein</w:t>
      </w:r>
      <w:r w:rsidR="00AF3D0D" w:rsidRPr="00846426">
        <w:rPr>
          <w:rFonts w:eastAsia="Times New Roman"/>
        </w:rPr>
        <w:t xml:space="preserve">g </w:t>
      </w:r>
      <w:r w:rsidR="00792B43" w:rsidRPr="00846426">
        <w:rPr>
          <w:rFonts w:eastAsia="Times New Roman"/>
        </w:rPr>
        <w:t>overly</w:t>
      </w:r>
      <w:r w:rsidR="00AF3D0D" w:rsidRPr="00846426">
        <w:rPr>
          <w:rFonts w:eastAsia="Times New Roman"/>
        </w:rPr>
        <w:t xml:space="preserve"> associated </w:t>
      </w:r>
      <w:r w:rsidR="00E66C3A" w:rsidRPr="00846426">
        <w:rPr>
          <w:rFonts w:eastAsia="Times New Roman"/>
        </w:rPr>
        <w:t xml:space="preserve">with </w:t>
      </w:r>
      <w:proofErr w:type="gramStart"/>
      <w:r w:rsidR="00E66C3A" w:rsidRPr="00846426">
        <w:rPr>
          <w:rFonts w:eastAsia="Times New Roman"/>
        </w:rPr>
        <w:t>particular</w:t>
      </w:r>
      <w:r w:rsidR="00312ABE" w:rsidRPr="00846426">
        <w:rPr>
          <w:rFonts w:eastAsia="Times New Roman"/>
        </w:rPr>
        <w:t xml:space="preserve"> </w:t>
      </w:r>
      <w:r w:rsidR="00117A5A" w:rsidRPr="00846426">
        <w:rPr>
          <w:rFonts w:eastAsia="Times New Roman"/>
        </w:rPr>
        <w:t>experts</w:t>
      </w:r>
      <w:proofErr w:type="gramEnd"/>
      <w:r w:rsidR="00117A5A" w:rsidRPr="00846426">
        <w:rPr>
          <w:rFonts w:eastAsia="Times New Roman"/>
        </w:rPr>
        <w:t xml:space="preserve"> or expert viewpoints. </w:t>
      </w:r>
      <w:r w:rsidR="00162D45" w:rsidRPr="00846426">
        <w:rPr>
          <w:rFonts w:eastAsia="Times New Roman"/>
        </w:rPr>
        <w:t xml:space="preserve">In the words of the IPU and IFLA guidelines, </w:t>
      </w:r>
      <w:r w:rsidR="00210946" w:rsidRPr="00846426">
        <w:rPr>
          <w:rFonts w:eastAsia="Times New Roman"/>
        </w:rPr>
        <w:t xml:space="preserve">“a </w:t>
      </w:r>
      <w:r w:rsidR="00117A5A" w:rsidRPr="00846426">
        <w:rPr>
          <w:rFonts w:eastAsia="Times New Roman"/>
        </w:rPr>
        <w:t>parliamentary research service will need to balance the value of the expertise found in academia and think-tanks against the risk of being associated with partisan endeavours</w:t>
      </w:r>
      <w:r w:rsidR="00210946" w:rsidRPr="00846426">
        <w:rPr>
          <w:rFonts w:eastAsia="Times New Roman"/>
        </w:rPr>
        <w:t>”</w:t>
      </w:r>
      <w:r w:rsidR="00117A5A" w:rsidRPr="00846426">
        <w:rPr>
          <w:rFonts w:eastAsia="Times New Roman"/>
        </w:rPr>
        <w:t>.</w:t>
      </w:r>
      <w:r w:rsidR="008A7F87" w:rsidRPr="00846426">
        <w:rPr>
          <w:rStyle w:val="FootnoteReference"/>
          <w:rFonts w:eastAsia="Times New Roman"/>
        </w:rPr>
        <w:footnoteReference w:id="41"/>
      </w:r>
      <w:r w:rsidR="008E1A31" w:rsidRPr="00846426">
        <w:rPr>
          <w:rFonts w:eastAsia="Times New Roman"/>
        </w:rPr>
        <w:t xml:space="preserve"> </w:t>
      </w:r>
      <w:r w:rsidR="00C77129" w:rsidRPr="00846426">
        <w:rPr>
          <w:rFonts w:eastAsia="Times New Roman"/>
        </w:rPr>
        <w:t xml:space="preserve">Indeed, </w:t>
      </w:r>
      <w:proofErr w:type="spellStart"/>
      <w:r w:rsidR="00C77129" w:rsidRPr="00846426">
        <w:rPr>
          <w:rFonts w:eastAsia="Times New Roman"/>
        </w:rPr>
        <w:t>Fitsilis</w:t>
      </w:r>
      <w:proofErr w:type="spellEnd"/>
      <w:r w:rsidR="00C77129" w:rsidRPr="00846426">
        <w:rPr>
          <w:rFonts w:eastAsia="Times New Roman"/>
        </w:rPr>
        <w:t xml:space="preserve"> and </w:t>
      </w:r>
      <w:r w:rsidR="00E87D11" w:rsidRPr="00846426">
        <w:rPr>
          <w:rFonts w:eastAsia="Times New Roman"/>
        </w:rPr>
        <w:t xml:space="preserve">Koutsogiannis have argued </w:t>
      </w:r>
      <w:r w:rsidR="00775B05" w:rsidRPr="00846426">
        <w:rPr>
          <w:rFonts w:eastAsia="Times New Roman"/>
        </w:rPr>
        <w:t xml:space="preserve">for PRS </w:t>
      </w:r>
      <w:r w:rsidR="00B07847" w:rsidRPr="00846426">
        <w:rPr>
          <w:rFonts w:eastAsia="Times New Roman"/>
        </w:rPr>
        <w:t xml:space="preserve">to adopt strategies </w:t>
      </w:r>
      <w:r w:rsidR="006D3E10" w:rsidRPr="00846426">
        <w:rPr>
          <w:rFonts w:eastAsia="Times New Roman"/>
        </w:rPr>
        <w:t xml:space="preserve">to “stand out” in the </w:t>
      </w:r>
      <w:r w:rsidR="00775B05" w:rsidRPr="00846426">
        <w:rPr>
          <w:rFonts w:eastAsia="Times New Roman"/>
        </w:rPr>
        <w:t xml:space="preserve">informal </w:t>
      </w:r>
      <w:r w:rsidR="006626CF" w:rsidRPr="00846426">
        <w:rPr>
          <w:rFonts w:eastAsia="Times New Roman"/>
        </w:rPr>
        <w:t>competition with more partisan external think tanks</w:t>
      </w:r>
      <w:r w:rsidR="00025325" w:rsidRPr="00846426">
        <w:rPr>
          <w:rFonts w:eastAsia="Times New Roman"/>
        </w:rPr>
        <w:t xml:space="preserve"> and research centres.</w:t>
      </w:r>
      <w:r w:rsidR="005B234B" w:rsidRPr="00846426">
        <w:rPr>
          <w:rStyle w:val="FootnoteReference"/>
          <w:rFonts w:eastAsia="Times New Roman"/>
        </w:rPr>
        <w:footnoteReference w:id="42"/>
      </w:r>
    </w:p>
    <w:p w14:paraId="25ED8D92" w14:textId="77777777" w:rsidR="00792B43" w:rsidRPr="00846426" w:rsidRDefault="00792B43" w:rsidP="00F17150">
      <w:pPr>
        <w:rPr>
          <w:rFonts w:eastAsia="Times New Roman"/>
        </w:rPr>
      </w:pPr>
    </w:p>
    <w:p w14:paraId="748FCF42" w14:textId="0B01A762" w:rsidR="00792B43" w:rsidRPr="00846426" w:rsidRDefault="00210946" w:rsidP="00F17150">
      <w:pPr>
        <w:rPr>
          <w:rFonts w:eastAsia="Times New Roman"/>
        </w:rPr>
      </w:pPr>
      <w:r w:rsidRPr="00846426">
        <w:rPr>
          <w:rFonts w:eastAsia="Times New Roman"/>
        </w:rPr>
        <w:t>On the other hand, according to Mille</w:t>
      </w:r>
      <w:r w:rsidR="003B154A" w:rsidRPr="00846426">
        <w:rPr>
          <w:rFonts w:eastAsia="Times New Roman"/>
        </w:rPr>
        <w:t>r</w:t>
      </w:r>
      <w:r w:rsidRPr="00846426">
        <w:rPr>
          <w:rFonts w:eastAsia="Times New Roman"/>
        </w:rPr>
        <w:t xml:space="preserve"> et al</w:t>
      </w:r>
      <w:r w:rsidR="003B154A" w:rsidRPr="00846426">
        <w:rPr>
          <w:rFonts w:eastAsia="Times New Roman"/>
        </w:rPr>
        <w:t>:</w:t>
      </w:r>
    </w:p>
    <w:p w14:paraId="6E972458" w14:textId="77777777" w:rsidR="003B154A" w:rsidRPr="00846426" w:rsidRDefault="003B154A" w:rsidP="00F17150">
      <w:pPr>
        <w:rPr>
          <w:rFonts w:eastAsia="Times New Roman"/>
        </w:rPr>
      </w:pPr>
    </w:p>
    <w:p w14:paraId="7D59C3C2" w14:textId="5F395461" w:rsidR="003B154A" w:rsidRPr="00846426" w:rsidRDefault="003B154A" w:rsidP="003B154A">
      <w:pPr>
        <w:ind w:left="720"/>
        <w:rPr>
          <w:rFonts w:eastAsia="Times New Roman"/>
        </w:rPr>
      </w:pPr>
      <w:r w:rsidRPr="00846426">
        <w:rPr>
          <w:rFonts w:eastAsia="Times New Roman"/>
        </w:rPr>
        <w:t xml:space="preserve"> … </w:t>
      </w:r>
      <w:proofErr w:type="gramStart"/>
      <w:r w:rsidRPr="00846426">
        <w:rPr>
          <w:rFonts w:eastAsia="Times New Roman"/>
        </w:rPr>
        <w:t>in spite of</w:t>
      </w:r>
      <w:proofErr w:type="gramEnd"/>
      <w:r w:rsidRPr="00846426">
        <w:rPr>
          <w:rFonts w:eastAsia="Times New Roman"/>
        </w:rPr>
        <w:t xml:space="preserve"> their operational autonomy, parliamentary institutes need to be sufficiently attached to the parliamentary system. This second necessity is due to two different but related needs. The first is that parliamentary institutes need to be credible partners in the eyes of the individual parliamentarians and of the parliamentary administration. The second is that if parliamentary institutes are not sufficiently attached to the parliament, they might not be sufficiently sensitive to the needs arising from the parliamentary functioning and, thus, they might fail to provide appropriate and timely information, training or both.</w:t>
      </w:r>
    </w:p>
    <w:p w14:paraId="6EC5C92F" w14:textId="77777777" w:rsidR="00F512F2" w:rsidRPr="00846426" w:rsidRDefault="00F512F2" w:rsidP="00F17150">
      <w:pPr>
        <w:rPr>
          <w:rFonts w:eastAsia="Times New Roman"/>
        </w:rPr>
      </w:pPr>
    </w:p>
    <w:p w14:paraId="4316E4FA" w14:textId="06DA3285" w:rsidR="2A6638B9" w:rsidRPr="00846426" w:rsidRDefault="00050057" w:rsidP="00F17150">
      <w:pPr>
        <w:rPr>
          <w:rFonts w:eastAsia="Times New Roman"/>
        </w:rPr>
      </w:pPr>
      <w:r w:rsidRPr="00846426">
        <w:rPr>
          <w:rFonts w:eastAsia="Times New Roman"/>
        </w:rPr>
        <w:t xml:space="preserve">What then is the optimal approach to balancing autonomy and </w:t>
      </w:r>
      <w:r w:rsidR="005C271B" w:rsidRPr="00846426">
        <w:rPr>
          <w:rFonts w:eastAsia="Times New Roman"/>
        </w:rPr>
        <w:t>appropriate attachment to parliaments</w:t>
      </w:r>
      <w:r w:rsidR="001E44DA" w:rsidRPr="00846426">
        <w:rPr>
          <w:rFonts w:eastAsia="Times New Roman"/>
        </w:rPr>
        <w:t xml:space="preserve">, </w:t>
      </w:r>
      <w:r w:rsidR="00CB74ED" w:rsidRPr="00846426">
        <w:rPr>
          <w:rFonts w:eastAsia="Times New Roman"/>
        </w:rPr>
        <w:t xml:space="preserve">and </w:t>
      </w:r>
      <w:r w:rsidR="001E44DA" w:rsidRPr="00846426">
        <w:rPr>
          <w:rFonts w:eastAsia="Times New Roman"/>
        </w:rPr>
        <w:t xml:space="preserve">impartiality with </w:t>
      </w:r>
      <w:r w:rsidR="00A05169" w:rsidRPr="00846426">
        <w:rPr>
          <w:rFonts w:eastAsia="Times New Roman"/>
        </w:rPr>
        <w:t xml:space="preserve">the kinds of connections with external </w:t>
      </w:r>
      <w:r w:rsidR="00CB74ED" w:rsidRPr="00846426">
        <w:rPr>
          <w:rFonts w:eastAsia="Times New Roman"/>
        </w:rPr>
        <w:t xml:space="preserve">experts necessary to develop </w:t>
      </w:r>
      <w:r w:rsidR="000E1C49" w:rsidRPr="00846426">
        <w:rPr>
          <w:rFonts w:eastAsia="Times New Roman"/>
        </w:rPr>
        <w:t>subject area mastery</w:t>
      </w:r>
      <w:r w:rsidR="008E1A31" w:rsidRPr="00846426">
        <w:rPr>
          <w:rFonts w:eastAsia="Times New Roman"/>
        </w:rPr>
        <w:t>?</w:t>
      </w:r>
      <w:r w:rsidR="00CB74ED" w:rsidRPr="00846426">
        <w:rPr>
          <w:rFonts w:eastAsia="Times New Roman"/>
        </w:rPr>
        <w:t xml:space="preserve"> </w:t>
      </w:r>
    </w:p>
    <w:p w14:paraId="3C0ADDE5" w14:textId="77777777" w:rsidR="00212FA6" w:rsidRPr="00846426" w:rsidRDefault="00212FA6" w:rsidP="00F17150">
      <w:pPr>
        <w:rPr>
          <w:rFonts w:eastAsia="Times New Roman"/>
        </w:rPr>
      </w:pPr>
    </w:p>
    <w:p w14:paraId="5C5DE0E3" w14:textId="2D79EC7D" w:rsidR="00F903B6" w:rsidRDefault="00814DD7" w:rsidP="00F17150">
      <w:pPr>
        <w:rPr>
          <w:rFonts w:eastAsia="Times New Roman"/>
        </w:rPr>
      </w:pPr>
      <w:r>
        <w:rPr>
          <w:rFonts w:eastAsia="Times New Roman"/>
        </w:rPr>
        <w:t xml:space="preserve">Further, </w:t>
      </w:r>
      <w:r w:rsidR="0044338B" w:rsidRPr="00846426">
        <w:rPr>
          <w:rFonts w:eastAsia="Times New Roman"/>
        </w:rPr>
        <w:t xml:space="preserve">how </w:t>
      </w:r>
      <w:r w:rsidR="00BF4E6F" w:rsidRPr="00846426">
        <w:rPr>
          <w:rFonts w:eastAsia="Times New Roman"/>
        </w:rPr>
        <w:t xml:space="preserve">might parliamentary researchers </w:t>
      </w:r>
      <w:r w:rsidR="00DE0CD0" w:rsidRPr="00846426">
        <w:rPr>
          <w:rFonts w:eastAsia="Times New Roman"/>
        </w:rPr>
        <w:t xml:space="preserve">establish whether they are </w:t>
      </w:r>
      <w:r w:rsidR="0004665C" w:rsidRPr="00846426">
        <w:rPr>
          <w:rFonts w:eastAsia="Times New Roman"/>
        </w:rPr>
        <w:t xml:space="preserve">effective in their roles? </w:t>
      </w:r>
      <w:r w:rsidR="00591627" w:rsidRPr="00846426">
        <w:rPr>
          <w:rFonts w:eastAsia="Times New Roman"/>
        </w:rPr>
        <w:t xml:space="preserve">The </w:t>
      </w:r>
      <w:r w:rsidR="00E97BC9" w:rsidRPr="00846426">
        <w:rPr>
          <w:rFonts w:eastAsia="Times New Roman"/>
        </w:rPr>
        <w:t xml:space="preserve">case for institutional expertise within parliaments </w:t>
      </w:r>
      <w:r w:rsidR="00EE6B85" w:rsidRPr="00846426">
        <w:rPr>
          <w:rFonts w:eastAsia="Times New Roman"/>
        </w:rPr>
        <w:t xml:space="preserve">is well-recognised </w:t>
      </w:r>
      <w:r w:rsidR="00505189" w:rsidRPr="00846426">
        <w:rPr>
          <w:rFonts w:eastAsia="Times New Roman"/>
        </w:rPr>
        <w:t xml:space="preserve">but </w:t>
      </w:r>
      <w:r w:rsidR="003C4B50" w:rsidRPr="00846426">
        <w:rPr>
          <w:rFonts w:eastAsia="Times New Roman"/>
        </w:rPr>
        <w:t xml:space="preserve">the usage and impact of these institutions has been less explored. </w:t>
      </w:r>
      <w:r w:rsidR="008C25DC" w:rsidRPr="00846426">
        <w:rPr>
          <w:rFonts w:eastAsia="Times New Roman"/>
        </w:rPr>
        <w:t xml:space="preserve">What value do they </w:t>
      </w:r>
      <w:r w:rsidR="0075460E" w:rsidRPr="00846426">
        <w:rPr>
          <w:rFonts w:eastAsia="Times New Roman"/>
        </w:rPr>
        <w:t>add</w:t>
      </w:r>
      <w:r w:rsidR="008C25DC" w:rsidRPr="00846426">
        <w:rPr>
          <w:rFonts w:eastAsia="Times New Roman"/>
        </w:rPr>
        <w:t xml:space="preserve"> </w:t>
      </w:r>
      <w:r w:rsidR="0075460E" w:rsidRPr="00846426">
        <w:rPr>
          <w:rFonts w:eastAsia="Times New Roman"/>
        </w:rPr>
        <w:t xml:space="preserve">in terms of the quality of legislation, debate or scrutiny? </w:t>
      </w:r>
      <w:r w:rsidR="0004665C" w:rsidRPr="00846426">
        <w:rPr>
          <w:rFonts w:eastAsia="Times New Roman"/>
        </w:rPr>
        <w:t xml:space="preserve">What measures of </w:t>
      </w:r>
      <w:r w:rsidR="0092241D" w:rsidRPr="00846426">
        <w:rPr>
          <w:rFonts w:eastAsia="Times New Roman"/>
        </w:rPr>
        <w:t>impact and influence might be possible?</w:t>
      </w:r>
      <w:r w:rsidR="001C394C" w:rsidRPr="00846426">
        <w:rPr>
          <w:rStyle w:val="FootnoteReference"/>
          <w:rFonts w:eastAsia="Times New Roman"/>
        </w:rPr>
        <w:t xml:space="preserve"> </w:t>
      </w:r>
      <w:r w:rsidR="00D26086" w:rsidRPr="00846426">
        <w:rPr>
          <w:rStyle w:val="FootnoteReference"/>
          <w:rFonts w:eastAsia="Times New Roman"/>
        </w:rPr>
        <w:footnoteReference w:id="43"/>
      </w:r>
      <w:r w:rsidR="00D26086" w:rsidRPr="00846426">
        <w:rPr>
          <w:rFonts w:eastAsia="Times New Roman"/>
        </w:rPr>
        <w:t xml:space="preserve"> </w:t>
      </w:r>
    </w:p>
    <w:p w14:paraId="6E6ADB09" w14:textId="77777777" w:rsidR="00814DD7" w:rsidRDefault="00814DD7" w:rsidP="00F17150">
      <w:pPr>
        <w:rPr>
          <w:rFonts w:eastAsia="Times New Roman"/>
        </w:rPr>
      </w:pPr>
    </w:p>
    <w:p w14:paraId="0A14E7CF" w14:textId="7F4CEDF0" w:rsidR="00814DD7" w:rsidRPr="00846426" w:rsidRDefault="00814DD7" w:rsidP="00F17150">
      <w:pPr>
        <w:rPr>
          <w:rFonts w:eastAsia="Times New Roman"/>
        </w:rPr>
      </w:pPr>
      <w:r w:rsidRPr="00125749">
        <w:rPr>
          <w:rFonts w:eastAsia="Times New Roman"/>
        </w:rPr>
        <w:t xml:space="preserve">Finally, </w:t>
      </w:r>
      <w:r w:rsidR="00043CF0" w:rsidRPr="00125749">
        <w:rPr>
          <w:rFonts w:eastAsia="Times New Roman"/>
        </w:rPr>
        <w:t xml:space="preserve">there are questions </w:t>
      </w:r>
      <w:r w:rsidR="007D65B9" w:rsidRPr="00125749">
        <w:rPr>
          <w:rFonts w:eastAsia="Times New Roman"/>
        </w:rPr>
        <w:t xml:space="preserve">about </w:t>
      </w:r>
      <w:r w:rsidR="00F14F83" w:rsidRPr="00125749">
        <w:rPr>
          <w:rFonts w:eastAsia="Times New Roman"/>
        </w:rPr>
        <w:t xml:space="preserve">the capacity of </w:t>
      </w:r>
      <w:r w:rsidR="006C023E" w:rsidRPr="00125749">
        <w:rPr>
          <w:rFonts w:eastAsia="Times New Roman"/>
        </w:rPr>
        <w:t xml:space="preserve">parliamentary research institutions to </w:t>
      </w:r>
      <w:r w:rsidR="00D95805" w:rsidRPr="00125749">
        <w:rPr>
          <w:rFonts w:eastAsia="Times New Roman"/>
        </w:rPr>
        <w:t xml:space="preserve">face </w:t>
      </w:r>
      <w:r w:rsidR="009B08A9" w:rsidRPr="00125749">
        <w:rPr>
          <w:rFonts w:eastAsia="Times New Roman"/>
        </w:rPr>
        <w:t>current and future</w:t>
      </w:r>
      <w:r w:rsidR="00D95805" w:rsidRPr="00125749">
        <w:rPr>
          <w:rFonts w:eastAsia="Times New Roman"/>
        </w:rPr>
        <w:t xml:space="preserve"> challenges </w:t>
      </w:r>
      <w:r w:rsidR="00175892" w:rsidRPr="00125749">
        <w:rPr>
          <w:rFonts w:eastAsia="Times New Roman"/>
        </w:rPr>
        <w:t xml:space="preserve">such as greater complexity of issues, </w:t>
      </w:r>
      <w:r w:rsidR="00C454E0" w:rsidRPr="00125749">
        <w:rPr>
          <w:rFonts w:eastAsia="Times New Roman"/>
        </w:rPr>
        <w:t xml:space="preserve">pressures </w:t>
      </w:r>
      <w:r w:rsidR="00304950" w:rsidRPr="00125749">
        <w:rPr>
          <w:rFonts w:eastAsia="Times New Roman"/>
        </w:rPr>
        <w:t xml:space="preserve">for more rapid responses, </w:t>
      </w:r>
      <w:r w:rsidR="0053422F" w:rsidRPr="00125749">
        <w:rPr>
          <w:rFonts w:eastAsia="Times New Roman"/>
        </w:rPr>
        <w:t xml:space="preserve">contestation of expert knowledge, </w:t>
      </w:r>
      <w:r w:rsidR="005C7074" w:rsidRPr="00125749">
        <w:rPr>
          <w:rFonts w:eastAsia="Times New Roman"/>
        </w:rPr>
        <w:t xml:space="preserve">political </w:t>
      </w:r>
      <w:r w:rsidR="00304950" w:rsidRPr="00125749">
        <w:rPr>
          <w:rFonts w:eastAsia="Times New Roman"/>
        </w:rPr>
        <w:t>change</w:t>
      </w:r>
      <w:r w:rsidR="00125749" w:rsidRPr="00125749">
        <w:rPr>
          <w:rFonts w:eastAsia="Times New Roman"/>
        </w:rPr>
        <w:t>,</w:t>
      </w:r>
      <w:r w:rsidR="009B08A9" w:rsidRPr="00125749">
        <w:rPr>
          <w:rFonts w:eastAsia="Times New Roman"/>
        </w:rPr>
        <w:t xml:space="preserve"> and </w:t>
      </w:r>
      <w:r w:rsidR="004B6170" w:rsidRPr="00125749">
        <w:rPr>
          <w:rFonts w:eastAsia="Times New Roman"/>
        </w:rPr>
        <w:t xml:space="preserve">the emergence of </w:t>
      </w:r>
      <w:r w:rsidR="00D64B96" w:rsidRPr="00125749">
        <w:rPr>
          <w:rFonts w:eastAsia="Times New Roman"/>
        </w:rPr>
        <w:t xml:space="preserve">advanced technological applications such </w:t>
      </w:r>
      <w:r w:rsidR="00F9320B" w:rsidRPr="00125749">
        <w:rPr>
          <w:rFonts w:eastAsia="Times New Roman"/>
        </w:rPr>
        <w:t xml:space="preserve">as </w:t>
      </w:r>
      <w:r w:rsidR="003E562A" w:rsidRPr="00125749">
        <w:rPr>
          <w:rFonts w:eastAsia="Times New Roman"/>
        </w:rPr>
        <w:t>artificial intelligence</w:t>
      </w:r>
      <w:r w:rsidR="009B08A9" w:rsidRPr="00125749">
        <w:rPr>
          <w:rFonts w:eastAsia="Times New Roman"/>
        </w:rPr>
        <w:t>. To what extent will these</w:t>
      </w:r>
      <w:r w:rsidR="003E562A" w:rsidRPr="00125749">
        <w:rPr>
          <w:rFonts w:eastAsia="Times New Roman"/>
        </w:rPr>
        <w:t xml:space="preserve"> </w:t>
      </w:r>
      <w:r w:rsidR="00F9320B" w:rsidRPr="00125749">
        <w:rPr>
          <w:rFonts w:eastAsia="Times New Roman"/>
        </w:rPr>
        <w:t xml:space="preserve">require </w:t>
      </w:r>
      <w:r w:rsidR="00EB50CC" w:rsidRPr="00125749">
        <w:rPr>
          <w:rFonts w:eastAsia="Times New Roman"/>
        </w:rPr>
        <w:t xml:space="preserve">the </w:t>
      </w:r>
      <w:r w:rsidR="000752C6" w:rsidRPr="00125749">
        <w:rPr>
          <w:rFonts w:eastAsia="Times New Roman"/>
        </w:rPr>
        <w:t xml:space="preserve">development of </w:t>
      </w:r>
      <w:r w:rsidR="00F9320B" w:rsidRPr="00125749">
        <w:rPr>
          <w:rFonts w:eastAsia="Times New Roman"/>
        </w:rPr>
        <w:t xml:space="preserve">new </w:t>
      </w:r>
      <w:r w:rsidR="00645F5C" w:rsidRPr="00125749">
        <w:rPr>
          <w:rFonts w:eastAsia="Times New Roman"/>
        </w:rPr>
        <w:t>competencies</w:t>
      </w:r>
      <w:r w:rsidR="009176E1" w:rsidRPr="00125749">
        <w:rPr>
          <w:rFonts w:eastAsia="Times New Roman"/>
        </w:rPr>
        <w:t xml:space="preserve">, </w:t>
      </w:r>
      <w:r w:rsidR="00645F5C" w:rsidRPr="00125749">
        <w:rPr>
          <w:rFonts w:eastAsia="Times New Roman"/>
        </w:rPr>
        <w:t>processes</w:t>
      </w:r>
      <w:r w:rsidR="00652131" w:rsidRPr="00125749">
        <w:rPr>
          <w:rFonts w:eastAsia="Times New Roman"/>
        </w:rPr>
        <w:t>, service types</w:t>
      </w:r>
      <w:r w:rsidR="00A9231E">
        <w:rPr>
          <w:rFonts w:eastAsia="Times New Roman"/>
        </w:rPr>
        <w:t>,</w:t>
      </w:r>
      <w:r w:rsidR="009176E1" w:rsidRPr="00125749">
        <w:rPr>
          <w:rFonts w:eastAsia="Times New Roman"/>
        </w:rPr>
        <w:t xml:space="preserve"> and organisational forms</w:t>
      </w:r>
      <w:r w:rsidR="000752C6" w:rsidRPr="00125749">
        <w:rPr>
          <w:rFonts w:eastAsia="Times New Roman"/>
        </w:rPr>
        <w:t>?</w:t>
      </w:r>
    </w:p>
    <w:p w14:paraId="70DD7CA6" w14:textId="2DA62F91" w:rsidR="000C75B1" w:rsidRPr="00846426" w:rsidRDefault="00FD010D" w:rsidP="00FD010D">
      <w:pPr>
        <w:pStyle w:val="Heading2"/>
      </w:pPr>
      <w:r w:rsidRPr="00846426">
        <w:lastRenderedPageBreak/>
        <w:t>Conclusion</w:t>
      </w:r>
    </w:p>
    <w:p w14:paraId="040FFA30" w14:textId="139E68FE" w:rsidR="003208AF" w:rsidRPr="00846426" w:rsidRDefault="00562725" w:rsidP="00F17150">
      <w:pPr>
        <w:rPr>
          <w:rFonts w:eastAsia="Times New Roman"/>
        </w:rPr>
      </w:pPr>
      <w:r w:rsidRPr="00846426">
        <w:rPr>
          <w:rFonts w:eastAsia="Times New Roman"/>
        </w:rPr>
        <w:t xml:space="preserve">There has been relatively little study of expertise </w:t>
      </w:r>
      <w:r w:rsidR="00A03613" w:rsidRPr="00846426">
        <w:rPr>
          <w:rFonts w:eastAsia="Times New Roman"/>
        </w:rPr>
        <w:t xml:space="preserve">in a parliamentary context. </w:t>
      </w:r>
      <w:r w:rsidR="00042D62" w:rsidRPr="00846426">
        <w:rPr>
          <w:rFonts w:eastAsia="Times New Roman"/>
        </w:rPr>
        <w:t xml:space="preserve">In this paper we have </w:t>
      </w:r>
      <w:r w:rsidR="00484C13" w:rsidRPr="00846426">
        <w:rPr>
          <w:rFonts w:eastAsia="Times New Roman"/>
        </w:rPr>
        <w:t xml:space="preserve">drawn attention to </w:t>
      </w:r>
      <w:r w:rsidR="00E20B2F" w:rsidRPr="00846426">
        <w:rPr>
          <w:rFonts w:eastAsia="Times New Roman"/>
        </w:rPr>
        <w:t xml:space="preserve">meta-expertise </w:t>
      </w:r>
      <w:r w:rsidR="00586053" w:rsidRPr="00846426">
        <w:rPr>
          <w:rFonts w:eastAsia="Times New Roman"/>
        </w:rPr>
        <w:t xml:space="preserve">as a </w:t>
      </w:r>
      <w:r w:rsidR="00892C8B" w:rsidRPr="00846426">
        <w:rPr>
          <w:rFonts w:eastAsia="Times New Roman"/>
        </w:rPr>
        <w:t xml:space="preserve">specific </w:t>
      </w:r>
      <w:r w:rsidR="00586053" w:rsidRPr="00846426">
        <w:rPr>
          <w:rFonts w:eastAsia="Times New Roman"/>
        </w:rPr>
        <w:t xml:space="preserve">form that is </w:t>
      </w:r>
      <w:r w:rsidR="00B2134B" w:rsidRPr="00846426">
        <w:rPr>
          <w:rFonts w:eastAsia="Times New Roman"/>
        </w:rPr>
        <w:t xml:space="preserve">essential </w:t>
      </w:r>
      <w:r w:rsidR="00D1524A" w:rsidRPr="00846426">
        <w:rPr>
          <w:rFonts w:eastAsia="Times New Roman"/>
        </w:rPr>
        <w:t xml:space="preserve">to </w:t>
      </w:r>
      <w:r w:rsidR="00F4729B" w:rsidRPr="00846426">
        <w:rPr>
          <w:rFonts w:eastAsia="Times New Roman"/>
        </w:rPr>
        <w:t xml:space="preserve">narrowing the </w:t>
      </w:r>
      <w:r w:rsidR="00420EA7" w:rsidRPr="00846426">
        <w:rPr>
          <w:rFonts w:eastAsia="Times New Roman"/>
        </w:rPr>
        <w:t>epist</w:t>
      </w:r>
      <w:r w:rsidR="00C8222A" w:rsidRPr="00846426">
        <w:rPr>
          <w:rFonts w:eastAsia="Times New Roman"/>
        </w:rPr>
        <w:t xml:space="preserve">emic gap and </w:t>
      </w:r>
      <w:r w:rsidR="00BF3A03" w:rsidRPr="00846426">
        <w:rPr>
          <w:rFonts w:eastAsia="Times New Roman"/>
        </w:rPr>
        <w:t>meet</w:t>
      </w:r>
      <w:r w:rsidR="00C56DBE" w:rsidRPr="00846426">
        <w:rPr>
          <w:rFonts w:eastAsia="Times New Roman"/>
        </w:rPr>
        <w:t>ing</w:t>
      </w:r>
      <w:r w:rsidR="00BF3A03" w:rsidRPr="00846426">
        <w:rPr>
          <w:rFonts w:eastAsia="Times New Roman"/>
        </w:rPr>
        <w:t xml:space="preserve"> the </w:t>
      </w:r>
      <w:r w:rsidR="00C56DBE" w:rsidRPr="00846426">
        <w:rPr>
          <w:rFonts w:eastAsia="Times New Roman"/>
        </w:rPr>
        <w:t xml:space="preserve">immediate </w:t>
      </w:r>
      <w:r w:rsidR="00BF3A03" w:rsidRPr="00846426">
        <w:rPr>
          <w:rFonts w:eastAsia="Times New Roman"/>
        </w:rPr>
        <w:t xml:space="preserve">needs of </w:t>
      </w:r>
      <w:r w:rsidR="00FF405B" w:rsidRPr="00846426">
        <w:rPr>
          <w:rFonts w:eastAsia="Times New Roman"/>
        </w:rPr>
        <w:t>parliamentarians</w:t>
      </w:r>
      <w:r w:rsidR="00ED737B" w:rsidRPr="00846426">
        <w:rPr>
          <w:rFonts w:eastAsia="Times New Roman"/>
        </w:rPr>
        <w:t xml:space="preserve">. If </w:t>
      </w:r>
      <w:r w:rsidR="00E512FA" w:rsidRPr="00846426">
        <w:rPr>
          <w:rFonts w:eastAsia="Times New Roman"/>
        </w:rPr>
        <w:t xml:space="preserve">parliaments are </w:t>
      </w:r>
      <w:r w:rsidR="000B32B2" w:rsidRPr="00846426">
        <w:rPr>
          <w:rFonts w:eastAsia="Times New Roman"/>
        </w:rPr>
        <w:t xml:space="preserve">to be best equipped to </w:t>
      </w:r>
      <w:r w:rsidR="004C3152" w:rsidRPr="00846426">
        <w:rPr>
          <w:rFonts w:eastAsia="Times New Roman"/>
        </w:rPr>
        <w:t xml:space="preserve">deal with </w:t>
      </w:r>
      <w:r w:rsidR="009A7577" w:rsidRPr="00846426">
        <w:rPr>
          <w:rFonts w:eastAsia="Times New Roman"/>
        </w:rPr>
        <w:t xml:space="preserve">complex </w:t>
      </w:r>
      <w:r w:rsidR="00B15125" w:rsidRPr="00846426">
        <w:rPr>
          <w:rFonts w:eastAsia="Times New Roman"/>
        </w:rPr>
        <w:t xml:space="preserve">matters of public policy </w:t>
      </w:r>
      <w:r w:rsidR="00E33191" w:rsidRPr="00846426">
        <w:rPr>
          <w:rFonts w:eastAsia="Times New Roman"/>
        </w:rPr>
        <w:t xml:space="preserve">in a changing world, then </w:t>
      </w:r>
      <w:r w:rsidR="00906C67" w:rsidRPr="00846426">
        <w:rPr>
          <w:rFonts w:eastAsia="Times New Roman"/>
        </w:rPr>
        <w:t xml:space="preserve">we maintain </w:t>
      </w:r>
      <w:r w:rsidR="003F0842" w:rsidRPr="00846426">
        <w:rPr>
          <w:rFonts w:eastAsia="Times New Roman"/>
        </w:rPr>
        <w:t xml:space="preserve">this </w:t>
      </w:r>
      <w:r w:rsidR="002E7E60" w:rsidRPr="00846426">
        <w:rPr>
          <w:rFonts w:eastAsia="Times New Roman"/>
        </w:rPr>
        <w:t xml:space="preserve">will require </w:t>
      </w:r>
      <w:r w:rsidR="00550C11" w:rsidRPr="00846426">
        <w:rPr>
          <w:rFonts w:eastAsia="Times New Roman"/>
        </w:rPr>
        <w:t xml:space="preserve">an </w:t>
      </w:r>
      <w:r w:rsidR="007F008A" w:rsidRPr="00846426">
        <w:rPr>
          <w:rFonts w:eastAsia="Times New Roman"/>
        </w:rPr>
        <w:t xml:space="preserve">increased </w:t>
      </w:r>
      <w:r w:rsidR="008C65AC" w:rsidRPr="00846426">
        <w:rPr>
          <w:rFonts w:eastAsia="Times New Roman"/>
        </w:rPr>
        <w:t xml:space="preserve">focus on </w:t>
      </w:r>
      <w:r w:rsidR="0082283F" w:rsidRPr="00846426">
        <w:rPr>
          <w:rFonts w:eastAsia="Times New Roman"/>
        </w:rPr>
        <w:t xml:space="preserve">expertise in general, </w:t>
      </w:r>
      <w:r w:rsidR="00570B51" w:rsidRPr="00846426">
        <w:rPr>
          <w:rFonts w:eastAsia="Times New Roman"/>
        </w:rPr>
        <w:t xml:space="preserve">but </w:t>
      </w:r>
      <w:r w:rsidR="00C56DBE" w:rsidRPr="00846426">
        <w:rPr>
          <w:rFonts w:eastAsia="Times New Roman"/>
        </w:rPr>
        <w:t>especially</w:t>
      </w:r>
      <w:r w:rsidR="00DD743A" w:rsidRPr="00846426">
        <w:rPr>
          <w:rFonts w:eastAsia="Times New Roman"/>
        </w:rPr>
        <w:t xml:space="preserve"> on </w:t>
      </w:r>
      <w:r w:rsidR="001E4ECB" w:rsidRPr="00846426">
        <w:rPr>
          <w:rFonts w:eastAsia="Times New Roman"/>
        </w:rPr>
        <w:t xml:space="preserve">meta-expertise and </w:t>
      </w:r>
      <w:r w:rsidR="00123F5B" w:rsidRPr="00846426">
        <w:rPr>
          <w:rFonts w:eastAsia="Times New Roman"/>
        </w:rPr>
        <w:t xml:space="preserve">how it </w:t>
      </w:r>
      <w:r w:rsidR="0009268F" w:rsidRPr="00846426">
        <w:rPr>
          <w:rFonts w:eastAsia="Times New Roman"/>
        </w:rPr>
        <w:t xml:space="preserve">can be </w:t>
      </w:r>
      <w:r w:rsidR="003208AF" w:rsidRPr="00846426">
        <w:rPr>
          <w:rFonts w:eastAsia="Times New Roman"/>
        </w:rPr>
        <w:t>optimised.</w:t>
      </w:r>
    </w:p>
    <w:p w14:paraId="676A8029" w14:textId="77777777" w:rsidR="003208AF" w:rsidRPr="00846426" w:rsidRDefault="003208AF" w:rsidP="00F17150">
      <w:pPr>
        <w:rPr>
          <w:rFonts w:eastAsia="Times New Roman"/>
        </w:rPr>
      </w:pPr>
    </w:p>
    <w:p w14:paraId="10CF3B1A" w14:textId="77777777" w:rsidR="009608FE" w:rsidRPr="00846426" w:rsidRDefault="009608FE" w:rsidP="00BC26D5">
      <w:pPr>
        <w:spacing w:after="160" w:line="278" w:lineRule="auto"/>
        <w:rPr>
          <w:rFonts w:eastAsia="Times New Roman"/>
        </w:rPr>
      </w:pPr>
    </w:p>
    <w:p w14:paraId="2EF706D7" w14:textId="77777777" w:rsidR="00BC26D5" w:rsidRPr="00846426" w:rsidRDefault="00BC26D5" w:rsidP="0012121C"/>
    <w:p w14:paraId="2683398A" w14:textId="77777777" w:rsidR="001F58BB" w:rsidRDefault="001F58BB"/>
    <w:sectPr w:rsidR="001F58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7507E" w14:textId="77777777" w:rsidR="00D92C50" w:rsidRPr="00846426" w:rsidRDefault="00D92C50" w:rsidP="00531188">
      <w:r w:rsidRPr="00846426">
        <w:separator/>
      </w:r>
    </w:p>
  </w:endnote>
  <w:endnote w:type="continuationSeparator" w:id="0">
    <w:p w14:paraId="658F475A" w14:textId="77777777" w:rsidR="00D92C50" w:rsidRPr="00846426" w:rsidRDefault="00D92C50" w:rsidP="00531188">
      <w:r w:rsidRPr="00846426">
        <w:continuationSeparator/>
      </w:r>
    </w:p>
  </w:endnote>
  <w:endnote w:type="continuationNotice" w:id="1">
    <w:p w14:paraId="600ED500" w14:textId="77777777" w:rsidR="00D92C50" w:rsidRPr="00846426" w:rsidRDefault="00D9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D3467" w14:textId="77777777" w:rsidR="00D92C50" w:rsidRPr="00846426" w:rsidRDefault="00D92C50" w:rsidP="00531188">
      <w:r w:rsidRPr="00846426">
        <w:separator/>
      </w:r>
    </w:p>
  </w:footnote>
  <w:footnote w:type="continuationSeparator" w:id="0">
    <w:p w14:paraId="3885FD01" w14:textId="77777777" w:rsidR="00D92C50" w:rsidRPr="00846426" w:rsidRDefault="00D92C50" w:rsidP="00531188">
      <w:r w:rsidRPr="00846426">
        <w:continuationSeparator/>
      </w:r>
    </w:p>
  </w:footnote>
  <w:footnote w:type="continuationNotice" w:id="1">
    <w:p w14:paraId="6C48E761" w14:textId="77777777" w:rsidR="00D92C50" w:rsidRPr="00846426" w:rsidRDefault="00D92C50"/>
  </w:footnote>
  <w:footnote w:id="2">
    <w:p w14:paraId="2FD016AB" w14:textId="77777777" w:rsidR="00A06012" w:rsidRPr="005A7B07" w:rsidRDefault="00A06012" w:rsidP="00A06012">
      <w:pPr>
        <w:pStyle w:val="FootnoteText"/>
        <w:rPr>
          <w:lang w:val="en-US"/>
        </w:rPr>
      </w:pPr>
      <w:r>
        <w:rPr>
          <w:rStyle w:val="FootnoteReference"/>
        </w:rPr>
        <w:footnoteRef/>
      </w:r>
      <w:r>
        <w:t xml:space="preserve"> Similarly, political staff and parliamentary officers typically do not have expertise in technical matters. While we primarily refer to parliamentarians in this paper, this should be understood to include their staff.</w:t>
      </w:r>
    </w:p>
  </w:footnote>
  <w:footnote w:id="3">
    <w:p w14:paraId="42FA6774" w14:textId="1D1A43DF" w:rsidR="00A06012" w:rsidRPr="008F4841" w:rsidRDefault="00A06012" w:rsidP="00A06012">
      <w:pPr>
        <w:pStyle w:val="FootnoteText"/>
        <w:rPr>
          <w:lang w:val="en-US"/>
        </w:rPr>
      </w:pPr>
      <w:r>
        <w:rPr>
          <w:rStyle w:val="FootnoteReference"/>
        </w:rPr>
        <w:footnoteRef/>
      </w:r>
      <w:r>
        <w:t xml:space="preserve"> </w:t>
      </w:r>
      <w:r w:rsidRPr="002E414F">
        <w:t>Jonathan Craft, Brian Head</w:t>
      </w:r>
      <w:r>
        <w:t xml:space="preserve"> and</w:t>
      </w:r>
      <w:r w:rsidRPr="002E414F">
        <w:t xml:space="preserve"> Michael Howlett</w:t>
      </w:r>
      <w:r>
        <w:t>, ‘</w:t>
      </w:r>
      <w:r w:rsidRPr="008F4841">
        <w:t>Expertise, policy advice, and policy advisory systems in an open, participatory, and populist era: New challenges to research and practice</w:t>
      </w:r>
      <w:r>
        <w:t xml:space="preserve">’, </w:t>
      </w:r>
      <w:r w:rsidRPr="008F4841">
        <w:rPr>
          <w:i/>
          <w:iCs/>
        </w:rPr>
        <w:t>Australian Journal of Public Administration</w:t>
      </w:r>
      <w:r>
        <w:t xml:space="preserve"> 82(2) 2024, pp. 143-55; Brian Head, ‘</w:t>
      </w:r>
      <w:r w:rsidRPr="00884941">
        <w:t>Reconsidering expertise for public policymaking: the challenges of contestability</w:t>
      </w:r>
      <w:r>
        <w:t xml:space="preserve">’, </w:t>
      </w:r>
      <w:r w:rsidRPr="008F4841">
        <w:rPr>
          <w:i/>
          <w:iCs/>
        </w:rPr>
        <w:t>Australian Journal of Public Administration</w:t>
      </w:r>
      <w:r>
        <w:t xml:space="preserve"> 82(2) 2024, pp. 156-72.</w:t>
      </w:r>
    </w:p>
  </w:footnote>
  <w:footnote w:id="4">
    <w:p w14:paraId="5ACB8961" w14:textId="458A6BBB" w:rsidR="00497001" w:rsidRPr="00442822" w:rsidRDefault="00497001">
      <w:pPr>
        <w:pStyle w:val="FootnoteText"/>
        <w:rPr>
          <w:lang w:val="en-US"/>
        </w:rPr>
      </w:pPr>
      <w:r w:rsidRPr="00442822">
        <w:rPr>
          <w:rStyle w:val="FootnoteReference"/>
        </w:rPr>
        <w:footnoteRef/>
      </w:r>
      <w:r w:rsidRPr="00442822">
        <w:t xml:space="preserve"> M</w:t>
      </w:r>
      <w:r w:rsidR="00584EDF" w:rsidRPr="00442822">
        <w:t>athieu</w:t>
      </w:r>
      <w:r w:rsidRPr="00442822">
        <w:t xml:space="preserve"> Ouimet, M</w:t>
      </w:r>
      <w:r w:rsidR="00584EDF" w:rsidRPr="00442822">
        <w:t>orgaine</w:t>
      </w:r>
      <w:r w:rsidRPr="00442822">
        <w:t xml:space="preserve"> Beaumier, A</w:t>
      </w:r>
      <w:r w:rsidR="00584EDF" w:rsidRPr="00442822">
        <w:t>drien</w:t>
      </w:r>
      <w:r w:rsidRPr="00442822">
        <w:t xml:space="preserve"> Cloutier, A</w:t>
      </w:r>
      <w:r w:rsidR="00584EDF" w:rsidRPr="00442822">
        <w:t>lexandre</w:t>
      </w:r>
      <w:r w:rsidRPr="00442822">
        <w:t xml:space="preserve"> C</w:t>
      </w:r>
      <w:r w:rsidR="00CC613B" w:rsidRPr="00442822">
        <w:t>ote</w:t>
      </w:r>
      <w:r w:rsidRPr="00442822">
        <w:t xml:space="preserve">, </w:t>
      </w:r>
      <w:r w:rsidR="00596639" w:rsidRPr="00442822">
        <w:t>E</w:t>
      </w:r>
      <w:r w:rsidR="00C45A04" w:rsidRPr="00442822">
        <w:t>ric</w:t>
      </w:r>
      <w:r w:rsidR="00596639" w:rsidRPr="00442822">
        <w:t xml:space="preserve"> </w:t>
      </w:r>
      <w:r w:rsidRPr="00442822">
        <w:t xml:space="preserve">Montigny, </w:t>
      </w:r>
      <w:r w:rsidR="00596639" w:rsidRPr="00442822">
        <w:t>F</w:t>
      </w:r>
      <w:r w:rsidR="00C45A04" w:rsidRPr="00442822">
        <w:t>rancois</w:t>
      </w:r>
      <w:r w:rsidR="00596639" w:rsidRPr="00442822">
        <w:t xml:space="preserve"> </w:t>
      </w:r>
      <w:r w:rsidRPr="00442822">
        <w:t>G</w:t>
      </w:r>
      <w:r w:rsidR="00CC613B" w:rsidRPr="00442822">
        <w:t>e</w:t>
      </w:r>
      <w:r w:rsidRPr="00442822">
        <w:t xml:space="preserve">lineau, </w:t>
      </w:r>
      <w:r w:rsidR="00596639" w:rsidRPr="00442822">
        <w:t>S</w:t>
      </w:r>
      <w:r w:rsidR="00C45A04" w:rsidRPr="00442822">
        <w:t>teve</w:t>
      </w:r>
      <w:r w:rsidR="00596639" w:rsidRPr="00442822">
        <w:t xml:space="preserve"> </w:t>
      </w:r>
      <w:r w:rsidRPr="00442822">
        <w:t>Jacob</w:t>
      </w:r>
      <w:r w:rsidR="00CC613B" w:rsidRPr="00442822">
        <w:t xml:space="preserve"> and</w:t>
      </w:r>
      <w:r w:rsidRPr="00442822">
        <w:t xml:space="preserve"> S</w:t>
      </w:r>
      <w:r w:rsidR="00C45A04" w:rsidRPr="00442822">
        <w:t>tephane</w:t>
      </w:r>
      <w:r w:rsidR="00596639" w:rsidRPr="00442822">
        <w:t xml:space="preserve"> </w:t>
      </w:r>
      <w:r w:rsidRPr="00442822">
        <w:t>Ratt</w:t>
      </w:r>
      <w:r w:rsidR="00CC613B" w:rsidRPr="00442822">
        <w:t>e</w:t>
      </w:r>
      <w:r w:rsidRPr="00442822">
        <w:t xml:space="preserve">, </w:t>
      </w:r>
      <w:r w:rsidR="00A748A1" w:rsidRPr="00442822">
        <w:t>‘</w:t>
      </w:r>
      <w:r w:rsidRPr="00442822">
        <w:t>Use of research evidence in legislatures: a systematic review</w:t>
      </w:r>
      <w:r w:rsidR="00A748A1" w:rsidRPr="00442822">
        <w:t>’</w:t>
      </w:r>
      <w:r w:rsidRPr="00442822">
        <w:t xml:space="preserve">, </w:t>
      </w:r>
      <w:r w:rsidRPr="00442822">
        <w:rPr>
          <w:i/>
          <w:iCs/>
        </w:rPr>
        <w:t>Evidence &amp; Policy</w:t>
      </w:r>
      <w:r w:rsidRPr="00442822">
        <w:t xml:space="preserve">, 20(2) </w:t>
      </w:r>
      <w:r w:rsidR="00C63370" w:rsidRPr="00442822">
        <w:t xml:space="preserve">2024, p. </w:t>
      </w:r>
      <w:r w:rsidRPr="00442822">
        <w:t>22</w:t>
      </w:r>
      <w:r w:rsidR="00A748A1" w:rsidRPr="00442822">
        <w:t>7</w:t>
      </w:r>
      <w:r w:rsidR="00C63370" w:rsidRPr="00442822">
        <w:t>.</w:t>
      </w:r>
    </w:p>
  </w:footnote>
  <w:footnote w:id="5">
    <w:p w14:paraId="1B5FA0D7" w14:textId="35561F2A" w:rsidR="00A06012" w:rsidRPr="008F4841" w:rsidRDefault="00A06012" w:rsidP="00A06012">
      <w:pPr>
        <w:pStyle w:val="FootnoteText"/>
        <w:rPr>
          <w:lang w:val="en-US"/>
        </w:rPr>
      </w:pPr>
      <w:r w:rsidRPr="00442822">
        <w:rPr>
          <w:rStyle w:val="FootnoteReference"/>
        </w:rPr>
        <w:footnoteRef/>
      </w:r>
      <w:r w:rsidRPr="00442822">
        <w:t xml:space="preserve"> Inter-Parliamentary Union (IPU) and International</w:t>
      </w:r>
      <w:r w:rsidRPr="00846426">
        <w:t xml:space="preserve"> Federation of Library Associations and Institutions (IFLA)</w:t>
      </w:r>
      <w:r w:rsidRPr="00C47C98">
        <w:t xml:space="preserve">, </w:t>
      </w:r>
      <w:r w:rsidRPr="00C47C98">
        <w:rPr>
          <w:i/>
          <w:iCs/>
        </w:rPr>
        <w:t>Guidelines for Parliamentary Research Services</w:t>
      </w:r>
      <w:r w:rsidRPr="00C47C98">
        <w:t xml:space="preserve">, IPU and IFLA, 2015, p. 6. Accessed at: </w:t>
      </w:r>
      <w:hyperlink r:id="rId1" w:history="1">
        <w:r w:rsidRPr="00C47C98">
          <w:rPr>
            <w:rStyle w:val="Hyperlink"/>
          </w:rPr>
          <w:t>https://www.ipu.org/resources/publications/reference/2016-07/guidelines-parliamentary-research-services</w:t>
        </w:r>
      </w:hyperlink>
      <w:r w:rsidRPr="00C47C98">
        <w:t>.</w:t>
      </w:r>
    </w:p>
  </w:footnote>
  <w:footnote w:id="6">
    <w:p w14:paraId="7B9D2DD7" w14:textId="5C58CAFA" w:rsidR="00A05B83" w:rsidRPr="008B4D78" w:rsidRDefault="00A05B83">
      <w:pPr>
        <w:pStyle w:val="FootnoteText"/>
        <w:rPr>
          <w:lang w:val="en-US"/>
        </w:rPr>
      </w:pPr>
      <w:r w:rsidRPr="008B4D78">
        <w:rPr>
          <w:rStyle w:val="FootnoteReference"/>
        </w:rPr>
        <w:footnoteRef/>
      </w:r>
      <w:r w:rsidRPr="008B4D78">
        <w:t xml:space="preserve"> </w:t>
      </w:r>
      <w:r w:rsidR="00743CF0" w:rsidRPr="008B4D78">
        <w:t>Brian Head</w:t>
      </w:r>
      <w:r w:rsidR="00717286" w:rsidRPr="008B4D78">
        <w:t xml:space="preserve">, ‘Reconsidering expertise for public </w:t>
      </w:r>
      <w:r w:rsidR="00646417" w:rsidRPr="008B4D78">
        <w:t>policymaking</w:t>
      </w:r>
      <w:r w:rsidR="00EF1FB4" w:rsidRPr="008B4D78">
        <w:t xml:space="preserve">’, p. </w:t>
      </w:r>
      <w:r w:rsidR="00EB0C21" w:rsidRPr="008B4D78">
        <w:t xml:space="preserve">157; </w:t>
      </w:r>
      <w:r w:rsidR="00F13431" w:rsidRPr="008B4D78">
        <w:t xml:space="preserve">Roger </w:t>
      </w:r>
      <w:proofErr w:type="spellStart"/>
      <w:r w:rsidR="00F13431" w:rsidRPr="008B4D78">
        <w:t>Koppl</w:t>
      </w:r>
      <w:proofErr w:type="spellEnd"/>
      <w:r w:rsidR="00F13431" w:rsidRPr="008B4D78">
        <w:t xml:space="preserve">, </w:t>
      </w:r>
      <w:r w:rsidR="00F13431" w:rsidRPr="008B4D78">
        <w:rPr>
          <w:i/>
          <w:iCs/>
        </w:rPr>
        <w:t>Expert Failure</w:t>
      </w:r>
      <w:r w:rsidR="00F13431" w:rsidRPr="008B4D78">
        <w:t xml:space="preserve">. Cambridge UK: Cambridge University Press, 2018; </w:t>
      </w:r>
      <w:r w:rsidR="00A72884" w:rsidRPr="008B4D78">
        <w:t xml:space="preserve">Thomas Nichols, </w:t>
      </w:r>
      <w:proofErr w:type="gramStart"/>
      <w:r w:rsidR="00A72884" w:rsidRPr="008B4D78">
        <w:rPr>
          <w:i/>
          <w:iCs/>
        </w:rPr>
        <w:t>The</w:t>
      </w:r>
      <w:proofErr w:type="gramEnd"/>
      <w:r w:rsidR="00A72884" w:rsidRPr="008B4D78">
        <w:rPr>
          <w:i/>
          <w:iCs/>
        </w:rPr>
        <w:t xml:space="preserve"> death of expertise: the campaign against established knowledge and why it matters</w:t>
      </w:r>
      <w:r w:rsidR="00644C26" w:rsidRPr="008B4D78">
        <w:t xml:space="preserve">. </w:t>
      </w:r>
      <w:r w:rsidR="00891907" w:rsidRPr="008B4D78">
        <w:t>New York, NY: Oxford University Press, 2017</w:t>
      </w:r>
      <w:r w:rsidR="00E10380" w:rsidRPr="008B4D78">
        <w:t xml:space="preserve">; Gil Eyal, </w:t>
      </w:r>
      <w:r w:rsidR="008A1552" w:rsidRPr="008B4D78">
        <w:rPr>
          <w:i/>
          <w:iCs/>
        </w:rPr>
        <w:t>The Crisis of Expertise</w:t>
      </w:r>
      <w:r w:rsidR="008A1552" w:rsidRPr="008B4D78">
        <w:t>.</w:t>
      </w:r>
      <w:r w:rsidR="00141C03" w:rsidRPr="008B4D78">
        <w:t xml:space="preserve"> Cambridge, UK: Polity Press, 2019</w:t>
      </w:r>
      <w:r w:rsidR="00F13431" w:rsidRPr="008B4D78">
        <w:t>.</w:t>
      </w:r>
    </w:p>
  </w:footnote>
  <w:footnote w:id="7">
    <w:p w14:paraId="3EAA0776" w14:textId="77777777" w:rsidR="00A06012" w:rsidRPr="00C47C98" w:rsidRDefault="00A06012" w:rsidP="00A06012">
      <w:pPr>
        <w:pStyle w:val="FootnoteText"/>
      </w:pPr>
      <w:r w:rsidRPr="008B4D78">
        <w:rPr>
          <w:rStyle w:val="FootnoteReference"/>
        </w:rPr>
        <w:footnoteRef/>
      </w:r>
      <w:r w:rsidRPr="008B4D78">
        <w:t xml:space="preserve"> These are sometimes called ‘wicked problems’, which cannot</w:t>
      </w:r>
      <w:r w:rsidRPr="00846426">
        <w:t xml:space="preserve"> be ‘definitively described, have ‘no ‘solutions’ in the sense of definitive and objective answers’ (Horst Rittel and Melvin Webber, ‘Dilemmas in a general theory of planning’, </w:t>
      </w:r>
      <w:r w:rsidRPr="00846426">
        <w:rPr>
          <w:i/>
          <w:iCs/>
        </w:rPr>
        <w:t xml:space="preserve">Policy Sciences </w:t>
      </w:r>
      <w:r w:rsidRPr="00846426">
        <w:t xml:space="preserve">4, 1973, p. 155), and for which ‘facts are uncertain, values in dispute, stakes high and decisions urgent’ (Maru </w:t>
      </w:r>
      <w:proofErr w:type="spellStart"/>
      <w:r w:rsidRPr="00846426">
        <w:t>Mormina</w:t>
      </w:r>
      <w:proofErr w:type="spellEnd"/>
      <w:r w:rsidRPr="00846426">
        <w:t xml:space="preserve">, ‘Knowledge, expertise and science advice during COVID-19: in search of epistemic justice for the ‘wicked’ problems of post-normal times’, </w:t>
      </w:r>
      <w:r w:rsidRPr="00846426">
        <w:rPr>
          <w:i/>
          <w:iCs/>
        </w:rPr>
        <w:t xml:space="preserve">Social Epistemology </w:t>
      </w:r>
      <w:r w:rsidRPr="00846426">
        <w:t>36(6) 2022, p. 672).</w:t>
      </w:r>
      <w:r w:rsidRPr="00C47C98">
        <w:t xml:space="preserve"> </w:t>
      </w:r>
    </w:p>
  </w:footnote>
  <w:footnote w:id="8">
    <w:p w14:paraId="72B44AFE" w14:textId="77777777" w:rsidR="00DC3ABB" w:rsidRPr="00B62144" w:rsidRDefault="00DC3ABB" w:rsidP="00DC3ABB">
      <w:pPr>
        <w:pStyle w:val="FootnoteText"/>
        <w:rPr>
          <w:lang w:val="en-US"/>
        </w:rPr>
      </w:pPr>
      <w:r>
        <w:rPr>
          <w:rStyle w:val="FootnoteReference"/>
        </w:rPr>
        <w:footnoteRef/>
      </w:r>
      <w:r>
        <w:t xml:space="preserve"> </w:t>
      </w:r>
      <w:r w:rsidRPr="005F30DB">
        <w:t xml:space="preserve">Alvin Goldman, ‘Expertise’, </w:t>
      </w:r>
      <w:proofErr w:type="spellStart"/>
      <w:r w:rsidRPr="005F30DB">
        <w:rPr>
          <w:i/>
          <w:iCs/>
        </w:rPr>
        <w:t>Topoi</w:t>
      </w:r>
      <w:proofErr w:type="spellEnd"/>
      <w:r w:rsidRPr="005F30DB">
        <w:t xml:space="preserve"> 37 2018, p. 3.</w:t>
      </w:r>
    </w:p>
  </w:footnote>
  <w:footnote w:id="9">
    <w:p w14:paraId="23A76702" w14:textId="2A5442A1" w:rsidR="00241B11" w:rsidRPr="00C47C98" w:rsidRDefault="00241B11" w:rsidP="00241B11">
      <w:pPr>
        <w:pStyle w:val="FootnoteText"/>
      </w:pPr>
      <w:r w:rsidRPr="00846426">
        <w:rPr>
          <w:rStyle w:val="FootnoteReference"/>
        </w:rPr>
        <w:footnoteRef/>
      </w:r>
      <w:r w:rsidRPr="00846426">
        <w:t xml:space="preserve"> Paul Ward, Jan </w:t>
      </w:r>
      <w:proofErr w:type="spellStart"/>
      <w:r w:rsidRPr="00846426">
        <w:t>Schraagen</w:t>
      </w:r>
      <w:proofErr w:type="spellEnd"/>
      <w:r w:rsidRPr="00846426">
        <w:t xml:space="preserve">, Julie Gore and Emilie Roth (eds), </w:t>
      </w:r>
      <w:r w:rsidRPr="00846426">
        <w:rPr>
          <w:i/>
          <w:iCs/>
        </w:rPr>
        <w:t>The Oxford handbook of expertise</w:t>
      </w:r>
      <w:r w:rsidRPr="00846426">
        <w:t>. Oxford: Oxford University Press, 2020.</w:t>
      </w:r>
    </w:p>
  </w:footnote>
  <w:footnote w:id="10">
    <w:p w14:paraId="4EB5341E" w14:textId="4502B620" w:rsidR="00241B11" w:rsidRPr="00C47C98" w:rsidRDefault="00241B11" w:rsidP="00241B11">
      <w:pPr>
        <w:pStyle w:val="FootnoteText"/>
      </w:pPr>
      <w:r w:rsidRPr="00846426">
        <w:rPr>
          <w:rStyle w:val="FootnoteReference"/>
        </w:rPr>
        <w:footnoteRef/>
      </w:r>
      <w:r w:rsidRPr="00846426">
        <w:t xml:space="preserve"> </w:t>
      </w:r>
      <w:r w:rsidRPr="00C47C98">
        <w:t xml:space="preserve">Roger </w:t>
      </w:r>
      <w:proofErr w:type="spellStart"/>
      <w:r w:rsidRPr="00C47C98">
        <w:t>Koppl</w:t>
      </w:r>
      <w:proofErr w:type="spellEnd"/>
      <w:r w:rsidRPr="00C47C98">
        <w:t xml:space="preserve">, </w:t>
      </w:r>
      <w:r w:rsidRPr="00C47C98">
        <w:rPr>
          <w:i/>
          <w:iCs/>
        </w:rPr>
        <w:t>Expert Failure</w:t>
      </w:r>
      <w:r w:rsidRPr="00C47C98">
        <w:t xml:space="preserve">. </w:t>
      </w:r>
      <w:r w:rsidR="00B5628B" w:rsidRPr="00C47C98">
        <w:t xml:space="preserve">There is a </w:t>
      </w:r>
      <w:r w:rsidR="00431FE3" w:rsidRPr="00C47C98">
        <w:t xml:space="preserve">large body of work in the </w:t>
      </w:r>
      <w:r w:rsidR="00797D9F" w:rsidRPr="00C47C98">
        <w:t xml:space="preserve">social studies of science </w:t>
      </w:r>
      <w:r w:rsidR="00483F6A" w:rsidRPr="00C47C98">
        <w:t xml:space="preserve">that </w:t>
      </w:r>
      <w:r w:rsidR="00766287" w:rsidRPr="00C47C98">
        <w:t>subscri</w:t>
      </w:r>
      <w:r w:rsidR="00E36E16" w:rsidRPr="00C47C98">
        <w:t>bes to</w:t>
      </w:r>
      <w:r w:rsidR="00DC40EA" w:rsidRPr="00C47C98">
        <w:t xml:space="preserve"> this </w:t>
      </w:r>
      <w:r w:rsidR="00DB7258" w:rsidRPr="00C47C98">
        <w:t xml:space="preserve">relational, or </w:t>
      </w:r>
      <w:r w:rsidR="00DC40EA" w:rsidRPr="00C47C98">
        <w:t>constructivist</w:t>
      </w:r>
      <w:r w:rsidR="00DB7258" w:rsidRPr="00C47C98">
        <w:t xml:space="preserve">, </w:t>
      </w:r>
      <w:r w:rsidR="0082755D" w:rsidRPr="00C47C98">
        <w:t>view of expertise.</w:t>
      </w:r>
    </w:p>
  </w:footnote>
  <w:footnote w:id="11">
    <w:p w14:paraId="189D455B" w14:textId="77777777" w:rsidR="00241B11" w:rsidRPr="00C47C98" w:rsidRDefault="00241B11" w:rsidP="00241B11">
      <w:pPr>
        <w:pStyle w:val="FootnoteText"/>
      </w:pPr>
      <w:r w:rsidRPr="00846426">
        <w:rPr>
          <w:rStyle w:val="FootnoteReference"/>
        </w:rPr>
        <w:footnoteRef/>
      </w:r>
      <w:r w:rsidRPr="00846426">
        <w:t xml:space="preserve"> G</w:t>
      </w:r>
      <w:r w:rsidRPr="00C47C98">
        <w:t>oldman, ‘Expertise’, p. 4.</w:t>
      </w:r>
    </w:p>
  </w:footnote>
  <w:footnote w:id="12">
    <w:p w14:paraId="647A8175" w14:textId="77777777" w:rsidR="00241B11" w:rsidRPr="00C47C98" w:rsidRDefault="00241B11" w:rsidP="00241B11">
      <w:pPr>
        <w:pStyle w:val="FootnoteText"/>
      </w:pPr>
      <w:r w:rsidRPr="00846426">
        <w:rPr>
          <w:rStyle w:val="FootnoteReference"/>
        </w:rPr>
        <w:footnoteRef/>
      </w:r>
      <w:r w:rsidRPr="00846426">
        <w:t xml:space="preserve"> </w:t>
      </w:r>
      <w:r w:rsidRPr="00C47C98">
        <w:t xml:space="preserve">Matthew Thomas and Luke Buckmaster, </w:t>
      </w:r>
      <w:r w:rsidRPr="00C47C98">
        <w:rPr>
          <w:i/>
          <w:iCs/>
        </w:rPr>
        <w:t>Expertise and public policy: a conceptual guide</w:t>
      </w:r>
      <w:r w:rsidRPr="00C47C98">
        <w:t>, Parliamentary Library, Canberra, 2013. See also Goldman, ‘Expertise’, p. 4.</w:t>
      </w:r>
    </w:p>
  </w:footnote>
  <w:footnote w:id="13">
    <w:p w14:paraId="0FC21A9D" w14:textId="77777777" w:rsidR="00241B11" w:rsidRPr="00C47C98" w:rsidRDefault="00241B11" w:rsidP="00241B11">
      <w:pPr>
        <w:pStyle w:val="FootnoteText"/>
      </w:pPr>
      <w:r w:rsidRPr="00846426">
        <w:rPr>
          <w:rStyle w:val="FootnoteReference"/>
        </w:rPr>
        <w:footnoteRef/>
      </w:r>
      <w:r w:rsidRPr="00846426">
        <w:t xml:space="preserve"> Gareth Conway and Julie Gore, ‘Framing and translating expertise for government’ in Ward et al, </w:t>
      </w:r>
      <w:r w:rsidRPr="00846426">
        <w:rPr>
          <w:i/>
          <w:iCs/>
        </w:rPr>
        <w:t>The Oxford handbook of expertise</w:t>
      </w:r>
      <w:r w:rsidRPr="00846426">
        <w:t>, p. 1143.</w:t>
      </w:r>
    </w:p>
  </w:footnote>
  <w:footnote w:id="14">
    <w:p w14:paraId="2483AF6F" w14:textId="77777777" w:rsidR="00241B11" w:rsidRPr="00C47C98" w:rsidRDefault="00241B11" w:rsidP="00241B11">
      <w:pPr>
        <w:pStyle w:val="FootnoteText"/>
      </w:pPr>
      <w:r w:rsidRPr="00846426">
        <w:rPr>
          <w:rStyle w:val="FootnoteReference"/>
        </w:rPr>
        <w:footnoteRef/>
      </w:r>
      <w:r w:rsidRPr="00846426">
        <w:t xml:space="preserve"> Harry Collins and Robert Evans, </w:t>
      </w:r>
      <w:r w:rsidRPr="00846426">
        <w:rPr>
          <w:i/>
          <w:iCs/>
        </w:rPr>
        <w:t>Rethinking expertise</w:t>
      </w:r>
      <w:r w:rsidRPr="00846426">
        <w:t>. Chicago: University of Chicago Press, 2007. Collins and Evans’ classification has been criticised by some science researchers. This has been on two main grounds: firstly, that the classification does not sufficiently account for the exercise of power in determining who gets to be recognised as an expert, and, secondly, that it does not adequately deal with the messy and political nature of policy making, and the fact that politics inevitably intervenes in the process of developing technical knowledge. W</w:t>
      </w:r>
      <w:r w:rsidRPr="00846426">
        <w:rPr>
          <w:rFonts w:eastAsia="Times New Roman"/>
        </w:rPr>
        <w:t xml:space="preserve">e argue that while it is indeed important to be aware of these issues, and to acknowledge that expertise is never entirely politically neutral, it is nevertheless essential to attempt to draw lines and boundaries if we are to deal with the political problem of expertise. See Sheila </w:t>
      </w:r>
      <w:proofErr w:type="spellStart"/>
      <w:r w:rsidRPr="00846426">
        <w:rPr>
          <w:rFonts w:eastAsia="Times New Roman"/>
        </w:rPr>
        <w:t>Jasanoff</w:t>
      </w:r>
      <w:proofErr w:type="spellEnd"/>
      <w:r w:rsidRPr="00846426">
        <w:rPr>
          <w:rFonts w:eastAsia="Times New Roman"/>
        </w:rPr>
        <w:t xml:space="preserve">, ‘Breaking the waves in science studies: comment on H. M. Collins and Robert Evans, ‘The third wave of science studies’, </w:t>
      </w:r>
      <w:r w:rsidRPr="00846426">
        <w:rPr>
          <w:rFonts w:eastAsia="Times New Roman"/>
          <w:i/>
          <w:iCs/>
        </w:rPr>
        <w:t xml:space="preserve">Social Studies of Science </w:t>
      </w:r>
      <w:r w:rsidRPr="00846426">
        <w:rPr>
          <w:rFonts w:eastAsia="Times New Roman"/>
        </w:rPr>
        <w:t>33(3), 2003.</w:t>
      </w:r>
    </w:p>
  </w:footnote>
  <w:footnote w:id="15">
    <w:p w14:paraId="6AEE0A37" w14:textId="3E5CAD1A" w:rsidR="00241B11" w:rsidRPr="00C47C98" w:rsidRDefault="00241B11" w:rsidP="00241B11">
      <w:pPr>
        <w:pStyle w:val="FootnoteText"/>
      </w:pPr>
      <w:r w:rsidRPr="00846426">
        <w:rPr>
          <w:rStyle w:val="FootnoteReference"/>
        </w:rPr>
        <w:footnoteRef/>
      </w:r>
      <w:r w:rsidRPr="00846426">
        <w:t xml:space="preserve"> </w:t>
      </w:r>
      <w:r w:rsidRPr="00C47C98">
        <w:t xml:space="preserve">Thomas and Buckmaster, </w:t>
      </w:r>
      <w:r w:rsidRPr="00C47C98">
        <w:rPr>
          <w:i/>
          <w:iCs/>
        </w:rPr>
        <w:t>Expertise and public policy: a conceptual guide</w:t>
      </w:r>
      <w:r w:rsidRPr="00C47C98">
        <w:t xml:space="preserve">, pp. 15–16. In this paper </w:t>
      </w:r>
      <w:r w:rsidRPr="00846426">
        <w:t xml:space="preserve">we identified and developed a form of expertise—social expertise—that can be used by non-experts to make judgements about which experts to believe when they are not </w:t>
      </w:r>
      <w:proofErr w:type="gramStart"/>
      <w:r w:rsidRPr="00846426">
        <w:t>in a position</w:t>
      </w:r>
      <w:proofErr w:type="gramEnd"/>
      <w:r w:rsidRPr="00846426">
        <w:t xml:space="preserve"> to judge what to believe. Such judgements may be made using criteria such as who has the numbers on their side; are there any relevant interests or biases; and what are the experts' track records. While social expertise is a valuable resource it is of limited use in the context of wicked problems, such as the COVID-19 pandemic</w:t>
      </w:r>
      <w:r w:rsidR="00B05B92">
        <w:t>, where</w:t>
      </w:r>
      <w:r w:rsidRPr="00846426">
        <w:t xml:space="preserve"> expert consensus is often absent, there is conflicting testimony from genuine experts, facts take some time to develop, and there is more competition for the role of expert. These factors make it difficult if not impossible to make judgements using the criteria outlined. </w:t>
      </w:r>
      <w:r w:rsidRPr="00C47C98">
        <w:t xml:space="preserve">Thomas and Buckmaster, </w:t>
      </w:r>
      <w:r w:rsidRPr="00C47C98">
        <w:rPr>
          <w:i/>
          <w:iCs/>
        </w:rPr>
        <w:t>Expertise and public policy: a conceptual guide</w:t>
      </w:r>
      <w:r w:rsidRPr="00C47C98">
        <w:t>, pp. 21–38.</w:t>
      </w:r>
    </w:p>
  </w:footnote>
  <w:footnote w:id="16">
    <w:p w14:paraId="123A1377" w14:textId="31719948" w:rsidR="00641CCF" w:rsidRPr="004D1485" w:rsidRDefault="00641CCF">
      <w:pPr>
        <w:pStyle w:val="FootnoteText"/>
        <w:rPr>
          <w:lang w:val="en-US"/>
        </w:rPr>
      </w:pPr>
      <w:r>
        <w:rPr>
          <w:rStyle w:val="FootnoteReference"/>
        </w:rPr>
        <w:footnoteRef/>
      </w:r>
      <w:r>
        <w:t xml:space="preserve"> </w:t>
      </w:r>
      <w:r w:rsidRPr="00846426">
        <w:rPr>
          <w:rFonts w:eastAsia="Times New Roman"/>
        </w:rPr>
        <w:t xml:space="preserve">Collins and Evans argue that experience is the most useful </w:t>
      </w:r>
      <w:r>
        <w:rPr>
          <w:rFonts w:eastAsia="Times New Roman"/>
        </w:rPr>
        <w:t xml:space="preserve">criteria </w:t>
      </w:r>
      <w:r w:rsidRPr="00846426">
        <w:rPr>
          <w:rFonts w:eastAsia="Times New Roman"/>
        </w:rPr>
        <w:t>in setting a boundary between the knowledge of non-experts and experts</w:t>
      </w:r>
      <w:r>
        <w:rPr>
          <w:rFonts w:eastAsia="Times New Roman"/>
        </w:rPr>
        <w:t>:</w:t>
      </w:r>
      <w:r w:rsidRPr="00846426">
        <w:rPr>
          <w:rFonts w:eastAsia="Times New Roman"/>
        </w:rPr>
        <w:t xml:space="preserve"> “without experience within a technical domain, or experience at judging the products of a technical domain, there is no specialist expertise”. And, without specialist expertise, “the minimal standards for making judgements in [technical] areas have not been met”.</w:t>
      </w:r>
      <w:r w:rsidR="0092592C">
        <w:rPr>
          <w:rFonts w:eastAsia="Times New Roman"/>
        </w:rPr>
        <w:t xml:space="preserve"> </w:t>
      </w:r>
      <w:r w:rsidR="00EB26EB">
        <w:rPr>
          <w:rFonts w:eastAsia="Times New Roman"/>
        </w:rPr>
        <w:t>Collins and Evans</w:t>
      </w:r>
      <w:r w:rsidR="004D1485">
        <w:rPr>
          <w:rFonts w:eastAsia="Times New Roman"/>
        </w:rPr>
        <w:t xml:space="preserve">, </w:t>
      </w:r>
      <w:r w:rsidR="004D1485">
        <w:rPr>
          <w:rFonts w:eastAsia="Times New Roman"/>
          <w:i/>
          <w:iCs/>
        </w:rPr>
        <w:t>Rethinking expertise</w:t>
      </w:r>
      <w:r w:rsidR="004D1485">
        <w:rPr>
          <w:rFonts w:eastAsia="Times New Roman"/>
        </w:rPr>
        <w:t>, p. 68.</w:t>
      </w:r>
    </w:p>
  </w:footnote>
  <w:footnote w:id="17">
    <w:p w14:paraId="146D4B87" w14:textId="151C7223" w:rsidR="00E31195" w:rsidRPr="00C47C98" w:rsidRDefault="00E31195">
      <w:pPr>
        <w:pStyle w:val="FootnoteText"/>
      </w:pPr>
      <w:r w:rsidRPr="00846426">
        <w:rPr>
          <w:rStyle w:val="FootnoteReference"/>
        </w:rPr>
        <w:footnoteRef/>
      </w:r>
      <w:r w:rsidRPr="00846426">
        <w:t xml:space="preserve"> </w:t>
      </w:r>
      <w:r w:rsidR="001B473C" w:rsidRPr="00C47C98">
        <w:t>A</w:t>
      </w:r>
      <w:r w:rsidR="00631C44" w:rsidRPr="00C47C98">
        <w:t>lfred</w:t>
      </w:r>
      <w:r w:rsidR="001B473C" w:rsidRPr="00C47C98">
        <w:t xml:space="preserve"> Schutz, </w:t>
      </w:r>
      <w:r w:rsidR="0006556B" w:rsidRPr="00C47C98">
        <w:t>‘The Well-informed Citizen: an essay on the social distribution of knowledge’</w:t>
      </w:r>
      <w:r w:rsidR="001903FD" w:rsidRPr="00C47C98">
        <w:t xml:space="preserve">. </w:t>
      </w:r>
      <w:r w:rsidR="001903FD" w:rsidRPr="00C47C98">
        <w:rPr>
          <w:i/>
          <w:iCs/>
        </w:rPr>
        <w:t>Social Research</w:t>
      </w:r>
      <w:r w:rsidR="00C91220" w:rsidRPr="00C47C98">
        <w:t xml:space="preserve"> 13(4) 1946</w:t>
      </w:r>
      <w:r w:rsidR="00687CC6" w:rsidRPr="00C47C98">
        <w:t>, pp. 463-</w:t>
      </w:r>
      <w:r w:rsidR="003A0796" w:rsidRPr="00C47C98">
        <w:t>78.</w:t>
      </w:r>
    </w:p>
  </w:footnote>
  <w:footnote w:id="18">
    <w:p w14:paraId="6308958D" w14:textId="3A497381" w:rsidR="004B081B" w:rsidRPr="00C47C98" w:rsidRDefault="004B081B">
      <w:pPr>
        <w:pStyle w:val="FootnoteText"/>
      </w:pPr>
      <w:r w:rsidRPr="00846426">
        <w:rPr>
          <w:rStyle w:val="FootnoteReference"/>
        </w:rPr>
        <w:footnoteRef/>
      </w:r>
      <w:r w:rsidRPr="00846426">
        <w:t xml:space="preserve"> </w:t>
      </w:r>
      <w:r w:rsidR="00EB44E8" w:rsidRPr="00C47C98">
        <w:t xml:space="preserve">Peter Berger and </w:t>
      </w:r>
      <w:r w:rsidR="00B03828" w:rsidRPr="00C47C98">
        <w:t xml:space="preserve">Thomas </w:t>
      </w:r>
      <w:proofErr w:type="spellStart"/>
      <w:r w:rsidR="00B03828" w:rsidRPr="00C47C98">
        <w:t>Luckmann</w:t>
      </w:r>
      <w:proofErr w:type="spellEnd"/>
      <w:r w:rsidR="00B03828" w:rsidRPr="00C47C98">
        <w:t xml:space="preserve">, </w:t>
      </w:r>
      <w:r w:rsidR="00711805" w:rsidRPr="00C47C98">
        <w:rPr>
          <w:i/>
          <w:iCs/>
        </w:rPr>
        <w:t>The Social Construction of Reality</w:t>
      </w:r>
      <w:r w:rsidR="00711805" w:rsidRPr="00C47C98">
        <w:t xml:space="preserve">, </w:t>
      </w:r>
      <w:r w:rsidR="005B24C4" w:rsidRPr="00846426">
        <w:t>Harmondsworth:</w:t>
      </w:r>
      <w:r w:rsidR="00362957" w:rsidRPr="00846426">
        <w:t xml:space="preserve"> Penguin, 1972</w:t>
      </w:r>
      <w:r w:rsidR="005579DD" w:rsidRPr="00846426">
        <w:t>, pp. 60-61</w:t>
      </w:r>
      <w:r w:rsidR="00362957" w:rsidRPr="00846426">
        <w:t>.</w:t>
      </w:r>
    </w:p>
  </w:footnote>
  <w:footnote w:id="19">
    <w:p w14:paraId="3856C8D8" w14:textId="77777777" w:rsidR="00253EAB" w:rsidRPr="00BC41EF" w:rsidRDefault="00253EAB" w:rsidP="00253EAB">
      <w:pPr>
        <w:pStyle w:val="FootnoteText"/>
      </w:pPr>
      <w:r w:rsidRPr="00846426">
        <w:rPr>
          <w:rStyle w:val="FootnoteReference"/>
        </w:rPr>
        <w:footnoteRef/>
      </w:r>
      <w:r w:rsidRPr="00846426">
        <w:t xml:space="preserve"> Croce, ‘On what it takes to be an expert’, p. 19. </w:t>
      </w:r>
      <w:r w:rsidRPr="00BC41EF">
        <w:t xml:space="preserve">See also Catherine Elgin, ‘Understanding and the Facts’, </w:t>
      </w:r>
      <w:r w:rsidRPr="00BC41EF">
        <w:rPr>
          <w:i/>
          <w:iCs/>
        </w:rPr>
        <w:t>Philosophical Studies</w:t>
      </w:r>
      <w:r w:rsidRPr="00BC41EF">
        <w:t xml:space="preserve"> 132(1) 2007, pp. 33-42.</w:t>
      </w:r>
    </w:p>
  </w:footnote>
  <w:footnote w:id="20">
    <w:p w14:paraId="7463CF4C" w14:textId="159DBC79" w:rsidR="00253EAB" w:rsidRPr="00BC41EF" w:rsidRDefault="00253EAB" w:rsidP="00253EAB">
      <w:pPr>
        <w:pStyle w:val="FootnoteText"/>
      </w:pPr>
      <w:r w:rsidRPr="00846426">
        <w:rPr>
          <w:rStyle w:val="FootnoteReference"/>
        </w:rPr>
        <w:footnoteRef/>
      </w:r>
      <w:r w:rsidRPr="00846426">
        <w:t xml:space="preserve"> </w:t>
      </w:r>
      <w:r w:rsidRPr="00BC41EF">
        <w:t xml:space="preserve">Allan Fleming, cited in Dorothy Bennett, ‘A History of the Parliamentary Research Service” in </w:t>
      </w:r>
      <w:r w:rsidRPr="00BC41EF">
        <w:rPr>
          <w:i/>
          <w:iCs/>
        </w:rPr>
        <w:t>The PRS 25 Years On: The Executive and the Legislature, the Interplay in Australia’s Westminster System. Papers to Mark the 25</w:t>
      </w:r>
      <w:r w:rsidRPr="00BC41EF">
        <w:rPr>
          <w:i/>
          <w:iCs/>
          <w:vertAlign w:val="superscript"/>
        </w:rPr>
        <w:t>th</w:t>
      </w:r>
      <w:r w:rsidRPr="00BC41EF">
        <w:rPr>
          <w:i/>
          <w:iCs/>
        </w:rPr>
        <w:t xml:space="preserve"> Anniversary of the Parliamentary Research Service</w:t>
      </w:r>
      <w:r w:rsidRPr="00BC41EF">
        <w:t xml:space="preserve">, Department of the Parliamentary Library, Canberra, Australian Government Publishing Service, </w:t>
      </w:r>
      <w:r w:rsidR="00083227">
        <w:t xml:space="preserve">1995, </w:t>
      </w:r>
      <w:r w:rsidRPr="00BC41EF">
        <w:t>p. 13.</w:t>
      </w:r>
    </w:p>
  </w:footnote>
  <w:footnote w:id="21">
    <w:p w14:paraId="5D078009" w14:textId="5A9F7907" w:rsidR="005525AD" w:rsidRPr="005525AD" w:rsidRDefault="005525AD">
      <w:pPr>
        <w:pStyle w:val="FootnoteText"/>
        <w:rPr>
          <w:lang w:val="en-US"/>
        </w:rPr>
      </w:pPr>
      <w:r w:rsidRPr="00A228BA">
        <w:rPr>
          <w:rStyle w:val="FootnoteReference"/>
        </w:rPr>
        <w:footnoteRef/>
      </w:r>
      <w:r w:rsidRPr="00A228BA">
        <w:t xml:space="preserve"> </w:t>
      </w:r>
      <w:r w:rsidR="00D3418D" w:rsidRPr="00A228BA">
        <w:t>David Christian Rose</w:t>
      </w:r>
      <w:r w:rsidR="008E157E" w:rsidRPr="00A228BA">
        <w:t xml:space="preserve">, </w:t>
      </w:r>
      <w:r w:rsidR="00D3418D" w:rsidRPr="00A228BA">
        <w:t>Caroline Kenny,</w:t>
      </w:r>
      <w:r w:rsidR="008E157E" w:rsidRPr="00A228BA">
        <w:t xml:space="preserve"> </w:t>
      </w:r>
      <w:r w:rsidR="00D3418D" w:rsidRPr="00A228BA">
        <w:t>Abbi Hobbs, and Chris Tyler</w:t>
      </w:r>
      <w:r w:rsidR="00E07D3C" w:rsidRPr="00A228BA">
        <w:t xml:space="preserve">, ‘Improving the use of evidence in legislatures: the case of the UK Parliament’, </w:t>
      </w:r>
      <w:r w:rsidR="00E07D3C" w:rsidRPr="00A228BA">
        <w:rPr>
          <w:i/>
          <w:iCs/>
        </w:rPr>
        <w:t>Evidence &amp; Policy</w:t>
      </w:r>
      <w:r w:rsidR="00E07D3C" w:rsidRPr="00A228BA">
        <w:t xml:space="preserve"> </w:t>
      </w:r>
      <w:r w:rsidR="006C3307" w:rsidRPr="00A228BA">
        <w:t xml:space="preserve">16(4) 2020, p. </w:t>
      </w:r>
      <w:r w:rsidR="00AA7556" w:rsidRPr="00A228BA">
        <w:t>632.</w:t>
      </w:r>
    </w:p>
  </w:footnote>
  <w:footnote w:id="22">
    <w:p w14:paraId="3100B5F5" w14:textId="45E367F9" w:rsidR="00514F25" w:rsidRPr="00C47C98" w:rsidRDefault="00514F25">
      <w:pPr>
        <w:pStyle w:val="FootnoteText"/>
      </w:pPr>
      <w:r w:rsidRPr="00846426">
        <w:rPr>
          <w:rStyle w:val="FootnoteReference"/>
        </w:rPr>
        <w:footnoteRef/>
      </w:r>
      <w:r w:rsidRPr="00846426">
        <w:t xml:space="preserve"> </w:t>
      </w:r>
      <w:r w:rsidR="000A6A14" w:rsidRPr="00846426">
        <w:t xml:space="preserve">Croce, ‘On what it takes to be an expert’, p. 13. </w:t>
      </w:r>
      <w:r w:rsidR="00A13326" w:rsidRPr="00846426">
        <w:t>P</w:t>
      </w:r>
      <w:r w:rsidR="00A13326" w:rsidRPr="00C47C98">
        <w:t xml:space="preserve">hilosopher, Jean Goodwin, worries that </w:t>
      </w:r>
      <w:r w:rsidR="00C0157E" w:rsidRPr="00C47C98">
        <w:t>“</w:t>
      </w:r>
      <w:r w:rsidR="00A13326" w:rsidRPr="00846426">
        <w:t>from the citizens’ point of view, the friendly meta-expert is yet another apparent egghead demanding their regard”. Jean Goodwin, ‘Accounting for the appeal to the authority of experts’, </w:t>
      </w:r>
      <w:r w:rsidR="00A13326" w:rsidRPr="00846426">
        <w:rPr>
          <w:i/>
          <w:iCs/>
        </w:rPr>
        <w:t>Argumentation</w:t>
      </w:r>
      <w:r w:rsidR="00A13326" w:rsidRPr="00846426">
        <w:t xml:space="preserve"> 25(3) 2011, p. 290. ‘Novice-oriented abilities’ are essentially about avoiding the ‘apparent egghead trap’.</w:t>
      </w:r>
    </w:p>
  </w:footnote>
  <w:footnote w:id="23">
    <w:p w14:paraId="5EDEC237" w14:textId="4F27BDC2" w:rsidR="006B4377" w:rsidRPr="00EA71C9" w:rsidRDefault="006B4377">
      <w:pPr>
        <w:pStyle w:val="FootnoteText"/>
        <w:rPr>
          <w:lang w:val="en-US"/>
        </w:rPr>
      </w:pPr>
      <w:r w:rsidRPr="00EA71C9">
        <w:rPr>
          <w:rStyle w:val="FootnoteReference"/>
        </w:rPr>
        <w:footnoteRef/>
      </w:r>
      <w:r w:rsidRPr="00EA71C9">
        <w:t xml:space="preserve"> </w:t>
      </w:r>
      <w:r w:rsidR="00894DCB" w:rsidRPr="00EA71C9">
        <w:t xml:space="preserve">Rose et al, ‘Improving the use of evidence in legislatures: the case of the UK Parliament’, p. </w:t>
      </w:r>
      <w:r w:rsidR="003646D3" w:rsidRPr="00EA71C9">
        <w:t>632.</w:t>
      </w:r>
    </w:p>
  </w:footnote>
  <w:footnote w:id="24">
    <w:p w14:paraId="298A6444" w14:textId="50DEA0B2" w:rsidR="00F77B76" w:rsidRPr="00C47C98" w:rsidRDefault="00F77B76">
      <w:pPr>
        <w:pStyle w:val="FootnoteText"/>
      </w:pPr>
      <w:r w:rsidRPr="00EA71C9">
        <w:rPr>
          <w:rStyle w:val="FootnoteReference"/>
        </w:rPr>
        <w:footnoteRef/>
      </w:r>
      <w:r w:rsidRPr="00EA71C9">
        <w:t xml:space="preserve"> </w:t>
      </w:r>
      <w:r w:rsidR="00CF5399" w:rsidRPr="00EA71C9">
        <w:t xml:space="preserve">Vicky Ward and Mark Monaghan, </w:t>
      </w:r>
      <w:r w:rsidR="00F87DE5" w:rsidRPr="00EA71C9">
        <w:t xml:space="preserve">‘Mapping and connecting Parliamentary Research Services around the world’, </w:t>
      </w:r>
      <w:r w:rsidR="005F51C4" w:rsidRPr="00EA71C9">
        <w:t>Commonwealth Parliamentary Association blog,</w:t>
      </w:r>
      <w:r w:rsidR="004129C3" w:rsidRPr="00EA71C9">
        <w:t xml:space="preserve"> </w:t>
      </w:r>
      <w:r w:rsidR="004E6522" w:rsidRPr="00EA71C9">
        <w:t>[</w:t>
      </w:r>
      <w:r w:rsidR="004129C3" w:rsidRPr="00EA71C9">
        <w:t>2024</w:t>
      </w:r>
      <w:r w:rsidR="004E6522" w:rsidRPr="00EA71C9">
        <w:t>]</w:t>
      </w:r>
      <w:r w:rsidR="004129C3" w:rsidRPr="00EA71C9">
        <w:t>. Accessed at:</w:t>
      </w:r>
      <w:r w:rsidR="005F51C4" w:rsidRPr="00846426">
        <w:t xml:space="preserve"> </w:t>
      </w:r>
      <w:hyperlink r:id="rId2" w:history="1">
        <w:r w:rsidR="004129C3" w:rsidRPr="00846426">
          <w:rPr>
            <w:rStyle w:val="Hyperlink"/>
          </w:rPr>
          <w:t>https://www.cpahq.org/knowledge-centre/blogs/parliamentary-research/</w:t>
        </w:r>
      </w:hyperlink>
      <w:r w:rsidR="004129C3" w:rsidRPr="00846426">
        <w:t xml:space="preserve">. </w:t>
      </w:r>
    </w:p>
  </w:footnote>
  <w:footnote w:id="25">
    <w:p w14:paraId="6AF41900" w14:textId="21981ABE" w:rsidR="0059798A" w:rsidRPr="00C47C98" w:rsidRDefault="0059798A">
      <w:pPr>
        <w:pStyle w:val="FootnoteText"/>
      </w:pPr>
      <w:r w:rsidRPr="00846426">
        <w:rPr>
          <w:rStyle w:val="FootnoteReference"/>
        </w:rPr>
        <w:footnoteRef/>
      </w:r>
      <w:r w:rsidRPr="00846426">
        <w:t xml:space="preserve"> </w:t>
      </w:r>
      <w:r w:rsidR="00F05B6B" w:rsidRPr="00846426">
        <w:t>D Jágr, ‘</w:t>
      </w:r>
      <w:r w:rsidR="00731B75" w:rsidRPr="00846426">
        <w:t xml:space="preserve">Parliamentary research services as expert resource of lawmakers. The Czech way’, </w:t>
      </w:r>
      <w:r w:rsidR="00EB0980" w:rsidRPr="00846426">
        <w:rPr>
          <w:i/>
          <w:iCs/>
        </w:rPr>
        <w:t>The Journal of Legislative Studies</w:t>
      </w:r>
      <w:r w:rsidR="000F081D" w:rsidRPr="00846426">
        <w:t xml:space="preserve"> </w:t>
      </w:r>
      <w:r w:rsidR="00910990" w:rsidRPr="00846426">
        <w:t>28(1) 2022, p. 97.</w:t>
      </w:r>
    </w:p>
  </w:footnote>
  <w:footnote w:id="26">
    <w:p w14:paraId="32CBE3D4" w14:textId="64858419" w:rsidR="0064308D" w:rsidRPr="00C47C98" w:rsidRDefault="0064308D">
      <w:pPr>
        <w:pStyle w:val="FootnoteText"/>
      </w:pPr>
      <w:r w:rsidRPr="00846426">
        <w:rPr>
          <w:rStyle w:val="FootnoteReference"/>
        </w:rPr>
        <w:footnoteRef/>
      </w:r>
      <w:r w:rsidRPr="00846426">
        <w:t xml:space="preserve"> </w:t>
      </w:r>
      <w:r w:rsidR="00273924" w:rsidRPr="00C47C98">
        <w:t xml:space="preserve">Congressional Research Service (CRS), </w:t>
      </w:r>
      <w:r w:rsidR="002F4766" w:rsidRPr="00C47C98">
        <w:rPr>
          <w:i/>
          <w:iCs/>
        </w:rPr>
        <w:t xml:space="preserve">The Congressional Research </w:t>
      </w:r>
      <w:r w:rsidR="008E7FC2" w:rsidRPr="00C47C98">
        <w:rPr>
          <w:i/>
          <w:iCs/>
        </w:rPr>
        <w:t>Service</w:t>
      </w:r>
      <w:r w:rsidR="002F4766" w:rsidRPr="00C47C98">
        <w:rPr>
          <w:i/>
          <w:iCs/>
        </w:rPr>
        <w:t xml:space="preserve"> and the Americ</w:t>
      </w:r>
      <w:r w:rsidR="00151B0A" w:rsidRPr="00C47C98">
        <w:rPr>
          <w:i/>
          <w:iCs/>
        </w:rPr>
        <w:t xml:space="preserve">an </w:t>
      </w:r>
      <w:r w:rsidR="008E7FC2" w:rsidRPr="00C47C98">
        <w:rPr>
          <w:i/>
          <w:iCs/>
        </w:rPr>
        <w:t>Legislative</w:t>
      </w:r>
      <w:r w:rsidR="00151B0A" w:rsidRPr="00C47C98">
        <w:rPr>
          <w:i/>
          <w:iCs/>
        </w:rPr>
        <w:t xml:space="preserve"> Process</w:t>
      </w:r>
      <w:r w:rsidR="00C30A7E" w:rsidRPr="00C47C98">
        <w:t>,</w:t>
      </w:r>
      <w:r w:rsidR="003F3C97" w:rsidRPr="00C47C98">
        <w:t xml:space="preserve"> </w:t>
      </w:r>
      <w:r w:rsidR="00D52FD3" w:rsidRPr="00C47C98">
        <w:t>CRS Report</w:t>
      </w:r>
      <w:r w:rsidR="000D2C31" w:rsidRPr="00C47C98">
        <w:t>, 12 April 2011, p. 1.</w:t>
      </w:r>
    </w:p>
  </w:footnote>
  <w:footnote w:id="27">
    <w:p w14:paraId="5324D4F7" w14:textId="22897199" w:rsidR="00DB5A6C" w:rsidRPr="00C47C98" w:rsidRDefault="00DB5A6C">
      <w:pPr>
        <w:pStyle w:val="FootnoteText"/>
      </w:pPr>
      <w:r w:rsidRPr="00846426">
        <w:rPr>
          <w:rStyle w:val="FootnoteReference"/>
        </w:rPr>
        <w:footnoteRef/>
      </w:r>
      <w:r w:rsidR="00A407E6">
        <w:t xml:space="preserve"> </w:t>
      </w:r>
      <w:r w:rsidR="005C1AAB" w:rsidRPr="00C47C98">
        <w:t xml:space="preserve">IPU and IFLA, </w:t>
      </w:r>
      <w:r w:rsidR="005C1AAB" w:rsidRPr="00C47C98">
        <w:rPr>
          <w:i/>
          <w:iCs/>
        </w:rPr>
        <w:t>Guidelines for Parliamentary Research Services</w:t>
      </w:r>
      <w:r w:rsidR="005C1AAB" w:rsidRPr="00C47C98">
        <w:t xml:space="preserve">, p. </w:t>
      </w:r>
      <w:r w:rsidR="00E5215D">
        <w:t>6</w:t>
      </w:r>
      <w:r w:rsidR="005C1AAB" w:rsidRPr="00C47C98">
        <w:t>. See</w:t>
      </w:r>
      <w:r w:rsidR="005B3FB9" w:rsidRPr="00C47C98">
        <w:t xml:space="preserve">. </w:t>
      </w:r>
    </w:p>
  </w:footnote>
  <w:footnote w:id="28">
    <w:p w14:paraId="6954B8DE" w14:textId="5A251D50" w:rsidR="001E30D1" w:rsidRPr="00C47C98" w:rsidRDefault="001E30D1">
      <w:pPr>
        <w:pStyle w:val="FootnoteText"/>
      </w:pPr>
      <w:r w:rsidRPr="00846426">
        <w:rPr>
          <w:rStyle w:val="FootnoteReference"/>
        </w:rPr>
        <w:footnoteRef/>
      </w:r>
      <w:r w:rsidRPr="00846426">
        <w:t xml:space="preserve"> These requirements </w:t>
      </w:r>
      <w:r w:rsidR="00F94566" w:rsidRPr="00846426">
        <w:t xml:space="preserve">may be </w:t>
      </w:r>
      <w:r w:rsidRPr="00846426">
        <w:t xml:space="preserve">captured in legislation and/or governance arrangements. For example, under the </w:t>
      </w:r>
      <w:r w:rsidRPr="00134D88">
        <w:t>Australian</w:t>
      </w:r>
      <w:r w:rsidRPr="00846426">
        <w:rPr>
          <w:i/>
          <w:iCs/>
        </w:rPr>
        <w:t xml:space="preserve"> Parliamentary Service Act 1999 </w:t>
      </w:r>
      <w:r w:rsidRPr="00846426">
        <w:t>(s38B), the functions of the Parliamentary Librarian (the statutory officer responsible for information and research services in the Australian Parliament), are to “provide high quality information, analysis and advice” to the Parliament “in a timely, impartial and confidential manner”, “maintaining the highest standards of scholarship and integrity”, “on the basis of equal access” and “having regard to the independence of Parliament from the Executive Government of the Commonwealth”.</w:t>
      </w:r>
    </w:p>
  </w:footnote>
  <w:footnote w:id="29">
    <w:p w14:paraId="1BBCF06F" w14:textId="5A593D7A" w:rsidR="00F56DB4" w:rsidRPr="00C47C98" w:rsidRDefault="00F56DB4">
      <w:pPr>
        <w:pStyle w:val="FootnoteText"/>
      </w:pPr>
      <w:r w:rsidRPr="00846426">
        <w:rPr>
          <w:rStyle w:val="FootnoteReference"/>
        </w:rPr>
        <w:footnoteRef/>
      </w:r>
      <w:r w:rsidRPr="00846426">
        <w:t xml:space="preserve"> </w:t>
      </w:r>
      <w:r w:rsidR="00E82FFC" w:rsidRPr="00846426">
        <w:t xml:space="preserve">Csaba </w:t>
      </w:r>
      <w:proofErr w:type="spellStart"/>
      <w:r w:rsidR="00E82FFC" w:rsidRPr="00846426">
        <w:t>Csaki</w:t>
      </w:r>
      <w:proofErr w:type="spellEnd"/>
      <w:r w:rsidR="005E472D" w:rsidRPr="00846426">
        <w:t xml:space="preserve">, Ciara Fitzgerald, Paidi </w:t>
      </w:r>
      <w:proofErr w:type="spellStart"/>
      <w:r w:rsidR="005E472D" w:rsidRPr="00846426">
        <w:t>O’Raghallaigh</w:t>
      </w:r>
      <w:proofErr w:type="spellEnd"/>
      <w:r w:rsidR="005E472D" w:rsidRPr="00846426">
        <w:t xml:space="preserve"> and Fredric Adam, </w:t>
      </w:r>
      <w:r w:rsidR="00E20BE5" w:rsidRPr="00846426">
        <w:t>‘Towards the Institutionalisation of Technology Assessment</w:t>
      </w:r>
      <w:r w:rsidR="00FA2007" w:rsidRPr="00846426">
        <w:t xml:space="preserve">: the case for Ireland’, </w:t>
      </w:r>
      <w:r w:rsidR="006C72D0" w:rsidRPr="00846426">
        <w:rPr>
          <w:i/>
          <w:iCs/>
        </w:rPr>
        <w:t>Transforming Government: People, Process and Policy</w:t>
      </w:r>
      <w:r w:rsidR="00D329F0" w:rsidRPr="00846426">
        <w:t xml:space="preserve"> 8(3) 2014, </w:t>
      </w:r>
      <w:r w:rsidR="00B90F71" w:rsidRPr="00846426">
        <w:t>p</w:t>
      </w:r>
      <w:r w:rsidRPr="00C47C98">
        <w:t>. 318.</w:t>
      </w:r>
    </w:p>
  </w:footnote>
  <w:footnote w:id="30">
    <w:p w14:paraId="63FAACA7" w14:textId="0A72290B" w:rsidR="00F56DB4" w:rsidRPr="00C47C98" w:rsidRDefault="00F56DB4">
      <w:pPr>
        <w:pStyle w:val="FootnoteText"/>
      </w:pPr>
      <w:r w:rsidRPr="00846426">
        <w:rPr>
          <w:rStyle w:val="FootnoteReference"/>
        </w:rPr>
        <w:footnoteRef/>
      </w:r>
      <w:r w:rsidRPr="00846426">
        <w:t xml:space="preserve"> </w:t>
      </w:r>
      <w:proofErr w:type="spellStart"/>
      <w:r w:rsidR="00606A46" w:rsidRPr="00C47C98">
        <w:t>Csaki</w:t>
      </w:r>
      <w:proofErr w:type="spellEnd"/>
      <w:r w:rsidR="00AF715E" w:rsidRPr="00C47C98">
        <w:t xml:space="preserve"> et al</w:t>
      </w:r>
      <w:r w:rsidR="00606A46" w:rsidRPr="00C47C98">
        <w:t>,</w:t>
      </w:r>
      <w:r w:rsidR="00AF715E" w:rsidRPr="00C47C98">
        <w:t xml:space="preserve"> ‘</w:t>
      </w:r>
      <w:r w:rsidR="00AF715E" w:rsidRPr="00846426">
        <w:t>Towards the Institutionalisation of Technology Assessment</w:t>
      </w:r>
      <w:r w:rsidR="00D24457" w:rsidRPr="00846426">
        <w:t>’</w:t>
      </w:r>
      <w:r w:rsidR="00AF715E" w:rsidRPr="00846426">
        <w:t>,</w:t>
      </w:r>
      <w:r w:rsidR="00606A46" w:rsidRPr="00C47C98">
        <w:t xml:space="preserve"> p. 319.</w:t>
      </w:r>
    </w:p>
  </w:footnote>
  <w:footnote w:id="31">
    <w:p w14:paraId="407B6E4D" w14:textId="334765ED" w:rsidR="00E94108" w:rsidRPr="00C47C98" w:rsidRDefault="00E94108">
      <w:pPr>
        <w:pStyle w:val="FootnoteText"/>
      </w:pPr>
      <w:r w:rsidRPr="00846426">
        <w:rPr>
          <w:rStyle w:val="FootnoteReference"/>
        </w:rPr>
        <w:footnoteRef/>
      </w:r>
      <w:r w:rsidRPr="00846426">
        <w:t xml:space="preserve"> Christoph Kehl, Steffen Albrecht, Pauline </w:t>
      </w:r>
      <w:proofErr w:type="spellStart"/>
      <w:r w:rsidRPr="00846426">
        <w:t>Riousset</w:t>
      </w:r>
      <w:proofErr w:type="spellEnd"/>
      <w:r w:rsidRPr="00846426">
        <w:t xml:space="preserve"> and Arnold Sauter, ‘Goodbye Expert-Based Policy Advice? Challenges in Advising Governmental Institutions in Times of Transformation’, </w:t>
      </w:r>
      <w:r w:rsidRPr="00846426">
        <w:rPr>
          <w:i/>
          <w:iCs/>
        </w:rPr>
        <w:t>Sustainability</w:t>
      </w:r>
      <w:r w:rsidRPr="00846426">
        <w:t xml:space="preserve"> 13, 2021, p</w:t>
      </w:r>
      <w:r w:rsidRPr="00C47C98">
        <w:t>. 2.</w:t>
      </w:r>
    </w:p>
  </w:footnote>
  <w:footnote w:id="32">
    <w:p w14:paraId="148A7081" w14:textId="5F06EE50" w:rsidR="00355FFF" w:rsidRPr="00C47C98" w:rsidRDefault="00355FFF">
      <w:pPr>
        <w:pStyle w:val="FootnoteText"/>
      </w:pPr>
      <w:r w:rsidRPr="00846426">
        <w:rPr>
          <w:rStyle w:val="FootnoteReference"/>
        </w:rPr>
        <w:footnoteRef/>
      </w:r>
      <w:r w:rsidR="00495DB3">
        <w:t xml:space="preserve"> </w:t>
      </w:r>
      <w:r w:rsidR="00DF6270" w:rsidRPr="00846426">
        <w:t xml:space="preserve">European Parliamentary Technology Assessment (EPTA), ‘United Kingdom </w:t>
      </w:r>
      <w:r w:rsidR="004C7807" w:rsidRPr="00846426">
        <w:t>–</w:t>
      </w:r>
      <w:r w:rsidR="00DF6270" w:rsidRPr="00846426">
        <w:t xml:space="preserve"> </w:t>
      </w:r>
      <w:r w:rsidR="004C7807" w:rsidRPr="00846426">
        <w:t>The Parliamentary Office of Science and Technology</w:t>
      </w:r>
      <w:r w:rsidR="00231C3A" w:rsidRPr="00846426">
        <w:t xml:space="preserve">, EPTA. Accessed at: </w:t>
      </w:r>
      <w:hyperlink r:id="rId3" w:history="1">
        <w:r w:rsidR="00D14243" w:rsidRPr="00846426">
          <w:rPr>
            <w:rStyle w:val="Hyperlink"/>
          </w:rPr>
          <w:t>https://eptanetwork.org/static-html/comparative-table/countryreport/united_kingdom.html</w:t>
        </w:r>
      </w:hyperlink>
      <w:r w:rsidR="00192A00" w:rsidRPr="00846426">
        <w:t>.</w:t>
      </w:r>
      <w:r w:rsidR="007F15E9" w:rsidRPr="00846426">
        <w:t xml:space="preserve">; </w:t>
      </w:r>
      <w:r w:rsidR="00BB0AAE" w:rsidRPr="00846426">
        <w:t xml:space="preserve">POST, ‘POST board’. </w:t>
      </w:r>
      <w:r w:rsidR="00C46B02" w:rsidRPr="00846426">
        <w:t xml:space="preserve">Accessed at: </w:t>
      </w:r>
      <w:hyperlink r:id="rId4" w:history="1">
        <w:r w:rsidR="00C46B02" w:rsidRPr="00846426">
          <w:rPr>
            <w:rStyle w:val="Hyperlink"/>
          </w:rPr>
          <w:t>https://post.parliament.uk/about-us/post-board/</w:t>
        </w:r>
      </w:hyperlink>
      <w:r w:rsidR="00192A00" w:rsidRPr="00846426">
        <w:t>.</w:t>
      </w:r>
      <w:r w:rsidR="00C46B02" w:rsidRPr="00846426">
        <w:t xml:space="preserve"> </w:t>
      </w:r>
    </w:p>
  </w:footnote>
  <w:footnote w:id="33">
    <w:p w14:paraId="2CC69F4D" w14:textId="2E031F46" w:rsidR="00EE3C50" w:rsidRPr="00C47C98" w:rsidRDefault="00EE3C50">
      <w:pPr>
        <w:pStyle w:val="FootnoteText"/>
      </w:pPr>
      <w:r w:rsidRPr="00846426">
        <w:rPr>
          <w:rStyle w:val="FootnoteReference"/>
        </w:rPr>
        <w:footnoteRef/>
      </w:r>
      <w:r w:rsidRPr="00846426">
        <w:t xml:space="preserve"> </w:t>
      </w:r>
      <w:r w:rsidR="0048701A" w:rsidRPr="00846426">
        <w:t xml:space="preserve">POST, ‘About </w:t>
      </w:r>
      <w:proofErr w:type="gramStart"/>
      <w:r w:rsidR="0048701A" w:rsidRPr="00846426">
        <w:t>us’</w:t>
      </w:r>
      <w:proofErr w:type="gramEnd"/>
      <w:r w:rsidR="0048701A" w:rsidRPr="00846426">
        <w:t xml:space="preserve">. Accessed at: </w:t>
      </w:r>
      <w:hyperlink r:id="rId5" w:history="1">
        <w:r w:rsidR="00BB0AAE" w:rsidRPr="00846426">
          <w:rPr>
            <w:rStyle w:val="Hyperlink"/>
          </w:rPr>
          <w:t>https://post.parliament.uk/about-us/</w:t>
        </w:r>
      </w:hyperlink>
      <w:r w:rsidR="00BB0AAE" w:rsidRPr="00846426">
        <w:t xml:space="preserve"> </w:t>
      </w:r>
    </w:p>
  </w:footnote>
  <w:footnote w:id="34">
    <w:p w14:paraId="6AA3FC41" w14:textId="4236AF6D" w:rsidR="006939D5" w:rsidRPr="00BC41EF" w:rsidRDefault="006939D5" w:rsidP="006939D5">
      <w:pPr>
        <w:pStyle w:val="FootnoteText"/>
      </w:pPr>
      <w:r w:rsidRPr="00846426">
        <w:rPr>
          <w:rStyle w:val="FootnoteReference"/>
        </w:rPr>
        <w:footnoteRef/>
      </w:r>
      <w:r w:rsidR="00EF4BF1">
        <w:t xml:space="preserve"> </w:t>
      </w:r>
      <w:r w:rsidRPr="00846426">
        <w:t>Senate Legal and Constitutional Affairs References Committee, </w:t>
      </w:r>
      <w:r w:rsidRPr="00846426">
        <w:rPr>
          <w:i/>
          <w:iCs/>
        </w:rPr>
        <w:t>Nationhood, national identity and democracy</w:t>
      </w:r>
      <w:r w:rsidRPr="00846426">
        <w:t>, Parliament of Australia, 2021, p. 174.</w:t>
      </w:r>
    </w:p>
  </w:footnote>
  <w:footnote w:id="35">
    <w:p w14:paraId="30114971" w14:textId="46F4C7AE" w:rsidR="006939D5" w:rsidRPr="00BC41EF" w:rsidRDefault="006939D5" w:rsidP="006939D5">
      <w:pPr>
        <w:pStyle w:val="FootnoteText"/>
      </w:pPr>
      <w:r w:rsidRPr="00846426">
        <w:rPr>
          <w:rStyle w:val="FootnoteReference"/>
        </w:rPr>
        <w:footnoteRef/>
      </w:r>
      <w:r w:rsidR="00EF4BF1">
        <w:t xml:space="preserve"> </w:t>
      </w:r>
      <w:r w:rsidRPr="00846426">
        <w:t xml:space="preserve">Australian Academy of Science (AAS), ‘How should the Australian Parliament get its science advice?’, AAS. Accessed at: </w:t>
      </w:r>
      <w:hyperlink r:id="rId6" w:anchor=":~:text=A%20Parliamentary%20Science%20Office%20should,and%20evidence%20to%20all%20parliamentarians" w:history="1">
        <w:r w:rsidRPr="00846426">
          <w:rPr>
            <w:rStyle w:val="Hyperlink"/>
          </w:rPr>
          <w:t>https://www.science.org.au/curious/policy-features/how-should-australian-parliament-get-its-science-advice#:~:text=A%20Parliamentary%20Science%20Office%20should,and%20evidence%20to%20all%20parliamentarians</w:t>
        </w:r>
      </w:hyperlink>
      <w:r w:rsidRPr="00846426">
        <w:t>.</w:t>
      </w:r>
    </w:p>
  </w:footnote>
  <w:footnote w:id="36">
    <w:p w14:paraId="0A91444D" w14:textId="03F57466" w:rsidR="00B25796" w:rsidRPr="00B25796" w:rsidRDefault="00B25796">
      <w:pPr>
        <w:pStyle w:val="FootnoteText"/>
        <w:rPr>
          <w:lang w:val="en-US"/>
        </w:rPr>
      </w:pPr>
      <w:r>
        <w:rPr>
          <w:rStyle w:val="FootnoteReference"/>
        </w:rPr>
        <w:footnoteRef/>
      </w:r>
      <w:r>
        <w:t xml:space="preserve"> </w:t>
      </w:r>
      <w:r>
        <w:rPr>
          <w:lang w:val="en-US"/>
        </w:rPr>
        <w:t>Ibid.</w:t>
      </w:r>
    </w:p>
  </w:footnote>
  <w:footnote w:id="37">
    <w:p w14:paraId="76E56689" w14:textId="2ED6FBFF" w:rsidR="00EF4BF1" w:rsidRPr="00B640D7" w:rsidRDefault="00B640D7">
      <w:pPr>
        <w:pStyle w:val="FootnoteText"/>
        <w:rPr>
          <w:lang w:val="en-US"/>
        </w:rPr>
      </w:pPr>
      <w:r>
        <w:rPr>
          <w:rStyle w:val="FootnoteReference"/>
        </w:rPr>
        <w:footnoteRef/>
      </w:r>
      <w:r>
        <w:t xml:space="preserve"> </w:t>
      </w:r>
      <w:r w:rsidR="00EF4BF1" w:rsidRPr="00EF4BF1">
        <w:t xml:space="preserve">Legislative Council of NSW Procedure Committee, </w:t>
      </w:r>
      <w:hyperlink r:id="rId7" w:history="1">
        <w:r w:rsidR="00EF4BF1" w:rsidRPr="00EF4BF1">
          <w:rPr>
            <w:rStyle w:val="Hyperlink"/>
          </w:rPr>
          <w:t>Consultation on highly contentious bills and committee access to external experts</w:t>
        </w:r>
      </w:hyperlink>
      <w:r w:rsidR="00EF4BF1" w:rsidRPr="00EF4BF1">
        <w:t>, Report No.12, September 2020; NSW Parliamentary Library submission to NSW Legislative Council</w:t>
      </w:r>
      <w:r w:rsidR="003F1A04">
        <w:t>,</w:t>
      </w:r>
      <w:r w:rsidR="00EF4BF1" w:rsidRPr="00EF4BF1">
        <w:rPr>
          <w:i/>
          <w:iCs/>
        </w:rPr>
        <w:t xml:space="preserve"> </w:t>
      </w:r>
      <w:hyperlink r:id="rId8" w:history="1">
        <w:r w:rsidR="00EF4BF1" w:rsidRPr="00EF4BF1">
          <w:rPr>
            <w:rStyle w:val="Hyperlink"/>
            <w:i/>
            <w:iCs/>
          </w:rPr>
          <w:t>Inquiry into Consultation of Highly Contentious Bills</w:t>
        </w:r>
      </w:hyperlink>
      <w:r w:rsidR="00EF4BF1" w:rsidRPr="00EF4BF1">
        <w:t>, Submission No.</w:t>
      </w:r>
      <w:r w:rsidR="003F1A04">
        <w:t xml:space="preserve"> </w:t>
      </w:r>
      <w:r w:rsidR="00EF4BF1" w:rsidRPr="00EF4BF1">
        <w:t>9, November 2019.</w:t>
      </w:r>
    </w:p>
  </w:footnote>
  <w:footnote w:id="38">
    <w:p w14:paraId="6B5F5A23" w14:textId="0BE119F3" w:rsidR="009577C7" w:rsidRPr="00C47C98" w:rsidRDefault="009577C7">
      <w:pPr>
        <w:pStyle w:val="FootnoteText"/>
      </w:pPr>
      <w:r w:rsidRPr="00846426">
        <w:rPr>
          <w:rStyle w:val="FootnoteReference"/>
        </w:rPr>
        <w:footnoteRef/>
      </w:r>
      <w:r w:rsidRPr="00846426">
        <w:t xml:space="preserve"> </w:t>
      </w:r>
      <w:r w:rsidR="008C7738" w:rsidRPr="00846426">
        <w:t>House of Representatives</w:t>
      </w:r>
      <w:r w:rsidR="00897C16" w:rsidRPr="00846426">
        <w:t>, Parliament of Australia, ‘House of Representatives Practice</w:t>
      </w:r>
      <w:r w:rsidR="00D37313" w:rsidRPr="00846426">
        <w:t xml:space="preserve"> (7</w:t>
      </w:r>
      <w:r w:rsidR="00D37313" w:rsidRPr="00846426">
        <w:rPr>
          <w:vertAlign w:val="superscript"/>
        </w:rPr>
        <w:t>th</w:t>
      </w:r>
      <w:r w:rsidR="00D37313" w:rsidRPr="00846426">
        <w:t xml:space="preserve"> Edition), Chapter 18 </w:t>
      </w:r>
      <w:r w:rsidR="00F377A9" w:rsidRPr="00846426">
        <w:t xml:space="preserve">– </w:t>
      </w:r>
      <w:r w:rsidR="00D37313" w:rsidRPr="00846426">
        <w:t xml:space="preserve">Parliamentary </w:t>
      </w:r>
      <w:proofErr w:type="gramStart"/>
      <w:r w:rsidR="00F377A9" w:rsidRPr="00846426">
        <w:t>committees’</w:t>
      </w:r>
      <w:proofErr w:type="gramEnd"/>
      <w:r w:rsidR="00F377A9" w:rsidRPr="00846426">
        <w:t xml:space="preserve">. Accessed at: </w:t>
      </w:r>
      <w:hyperlink r:id="rId9" w:history="1">
        <w:r w:rsidR="006F1F1F" w:rsidRPr="00846426">
          <w:rPr>
            <w:rStyle w:val="Hyperlink"/>
          </w:rPr>
          <w:t>https://www.aph.gov.au/About_Parliament/House_of_Representatives/Powers_practice_and_procedure/Practice7/HTML/Chapter18/Parliamentary_committees</w:t>
        </w:r>
      </w:hyperlink>
      <w:r w:rsidR="00192A00" w:rsidRPr="00846426">
        <w:rPr>
          <w:rStyle w:val="Hyperlink"/>
        </w:rPr>
        <w:t>.</w:t>
      </w:r>
      <w:r w:rsidR="006F1F1F" w:rsidRPr="00846426">
        <w:t xml:space="preserve"> </w:t>
      </w:r>
    </w:p>
  </w:footnote>
  <w:footnote w:id="39">
    <w:p w14:paraId="25716336" w14:textId="74CB5EB5" w:rsidR="00BC42BE" w:rsidRPr="00C47C98" w:rsidRDefault="00BC42BE">
      <w:pPr>
        <w:pStyle w:val="FootnoteText"/>
      </w:pPr>
      <w:r w:rsidRPr="00846426">
        <w:rPr>
          <w:rStyle w:val="FootnoteReference"/>
        </w:rPr>
        <w:footnoteRef/>
      </w:r>
      <w:r w:rsidRPr="00846426">
        <w:t xml:space="preserve"> </w:t>
      </w:r>
      <w:r w:rsidRPr="00C47C98">
        <w:t xml:space="preserve">Roger </w:t>
      </w:r>
      <w:proofErr w:type="spellStart"/>
      <w:r w:rsidRPr="00C47C98">
        <w:t>Koppl</w:t>
      </w:r>
      <w:proofErr w:type="spellEnd"/>
      <w:r w:rsidRPr="00C47C98">
        <w:t xml:space="preserve">, </w:t>
      </w:r>
      <w:r w:rsidRPr="00C47C98">
        <w:rPr>
          <w:i/>
          <w:iCs/>
        </w:rPr>
        <w:t>Expert Failure</w:t>
      </w:r>
      <w:r w:rsidR="009377D5" w:rsidRPr="00C47C98">
        <w:t xml:space="preserve">. See also: </w:t>
      </w:r>
      <w:r w:rsidR="008D2F94" w:rsidRPr="00846426">
        <w:t xml:space="preserve">Roger </w:t>
      </w:r>
      <w:proofErr w:type="spellStart"/>
      <w:r w:rsidR="008D2F94" w:rsidRPr="00846426">
        <w:t>Koppl</w:t>
      </w:r>
      <w:proofErr w:type="spellEnd"/>
      <w:r w:rsidR="008D2F94" w:rsidRPr="00846426">
        <w:t xml:space="preserve">, ‘Public health and expert failure’, </w:t>
      </w:r>
      <w:r w:rsidR="008D2F94" w:rsidRPr="00846426">
        <w:rPr>
          <w:i/>
          <w:iCs/>
        </w:rPr>
        <w:t xml:space="preserve">Public Choice </w:t>
      </w:r>
      <w:r w:rsidR="00503600" w:rsidRPr="00846426">
        <w:t>19</w:t>
      </w:r>
      <w:r w:rsidR="007D2816" w:rsidRPr="00846426">
        <w:t>5</w:t>
      </w:r>
      <w:r w:rsidR="00E05497" w:rsidRPr="00846426">
        <w:t>(1-2)</w:t>
      </w:r>
      <w:r w:rsidR="007D2816" w:rsidRPr="00846426">
        <w:t xml:space="preserve"> </w:t>
      </w:r>
      <w:r w:rsidR="008D2F94" w:rsidRPr="00846426">
        <w:t>202</w:t>
      </w:r>
      <w:r w:rsidR="00E05497" w:rsidRPr="00846426">
        <w:t>3, pp. 101-124</w:t>
      </w:r>
      <w:r w:rsidR="003037AF" w:rsidRPr="006C0B1A">
        <w:t xml:space="preserve">; Brian Head, </w:t>
      </w:r>
      <w:r w:rsidR="001E1B50" w:rsidRPr="006C0B1A">
        <w:t>‘Reconsidering expertise for public policymaking: the challenges of contestability’.</w:t>
      </w:r>
    </w:p>
  </w:footnote>
  <w:footnote w:id="40">
    <w:p w14:paraId="6DC26EE2" w14:textId="6BAB4C5E" w:rsidR="00BE0EA7" w:rsidRPr="00C47C98" w:rsidRDefault="00BE0EA7">
      <w:pPr>
        <w:pStyle w:val="FootnoteText"/>
      </w:pPr>
      <w:r w:rsidRPr="00846426">
        <w:rPr>
          <w:rStyle w:val="FootnoteReference"/>
        </w:rPr>
        <w:footnoteRef/>
      </w:r>
      <w:r w:rsidR="008D7CE1" w:rsidRPr="00846426">
        <w:t xml:space="preserve"> Robert Miller, Riccardo </w:t>
      </w:r>
      <w:proofErr w:type="spellStart"/>
      <w:r w:rsidR="008D7CE1" w:rsidRPr="00846426">
        <w:t>Pelizzo</w:t>
      </w:r>
      <w:proofErr w:type="spellEnd"/>
      <w:r w:rsidR="008D7CE1" w:rsidRPr="00846426">
        <w:t xml:space="preserve"> and Rick </w:t>
      </w:r>
      <w:proofErr w:type="spellStart"/>
      <w:r w:rsidR="008D7CE1" w:rsidRPr="00846426">
        <w:t>Stapenhurst</w:t>
      </w:r>
      <w:proofErr w:type="spellEnd"/>
      <w:r w:rsidR="00F512F2" w:rsidRPr="00846426">
        <w:t xml:space="preserve">, </w:t>
      </w:r>
      <w:r w:rsidR="007C1B42" w:rsidRPr="00846426">
        <w:rPr>
          <w:i/>
          <w:iCs/>
        </w:rPr>
        <w:t>Parliamentary Libraries, Institutes and Offices: The Sources of Parliamentary Information</w:t>
      </w:r>
      <w:r w:rsidR="007C1B42" w:rsidRPr="00846426">
        <w:t xml:space="preserve">, </w:t>
      </w:r>
      <w:r w:rsidR="008F66E8" w:rsidRPr="00846426">
        <w:t xml:space="preserve">Washington DC, </w:t>
      </w:r>
      <w:r w:rsidR="00547D6C" w:rsidRPr="00846426">
        <w:t xml:space="preserve">World Bank Institute, 2004, </w:t>
      </w:r>
      <w:r w:rsidR="00F512F2" w:rsidRPr="00846426">
        <w:t>p. 9.</w:t>
      </w:r>
    </w:p>
  </w:footnote>
  <w:footnote w:id="41">
    <w:p w14:paraId="5334CF4C" w14:textId="6342FB56" w:rsidR="008A7F87" w:rsidRPr="00C47C98" w:rsidRDefault="008A7F87">
      <w:pPr>
        <w:pStyle w:val="FootnoteText"/>
      </w:pPr>
      <w:r w:rsidRPr="00846426">
        <w:rPr>
          <w:rStyle w:val="FootnoteReference"/>
        </w:rPr>
        <w:footnoteRef/>
      </w:r>
      <w:r w:rsidRPr="00846426">
        <w:t xml:space="preserve"> </w:t>
      </w:r>
      <w:r w:rsidRPr="00C47C98">
        <w:t xml:space="preserve">IPU and IFLA, </w:t>
      </w:r>
      <w:r w:rsidR="00D54640" w:rsidRPr="00C47C98">
        <w:rPr>
          <w:i/>
          <w:iCs/>
        </w:rPr>
        <w:t>Guidelines for Parliamentary Research Services</w:t>
      </w:r>
      <w:r w:rsidR="00D54640" w:rsidRPr="00C47C98">
        <w:t>, p. 38.</w:t>
      </w:r>
      <w:r w:rsidR="00B0052A" w:rsidRPr="00C47C98">
        <w:t xml:space="preserve"> See also </w:t>
      </w:r>
      <w:r w:rsidR="00B0052A" w:rsidRPr="00846426">
        <w:t>Christoph Kehl et al, ‘Goodbye Expert-Based Policy Advice?</w:t>
      </w:r>
    </w:p>
  </w:footnote>
  <w:footnote w:id="42">
    <w:p w14:paraId="53FCFAE8" w14:textId="33A849E9" w:rsidR="005B234B" w:rsidRPr="00C47C98" w:rsidRDefault="005B234B">
      <w:pPr>
        <w:pStyle w:val="FootnoteText"/>
      </w:pPr>
      <w:r w:rsidRPr="00846426">
        <w:rPr>
          <w:rStyle w:val="FootnoteReference"/>
        </w:rPr>
        <w:footnoteRef/>
      </w:r>
      <w:r w:rsidRPr="00846426">
        <w:t xml:space="preserve"> </w:t>
      </w:r>
      <w:r w:rsidRPr="00C47C98">
        <w:t xml:space="preserve">Fotios </w:t>
      </w:r>
      <w:proofErr w:type="spellStart"/>
      <w:r w:rsidRPr="00C47C98">
        <w:t>Fitsilis</w:t>
      </w:r>
      <w:proofErr w:type="spellEnd"/>
      <w:r w:rsidRPr="00C47C98">
        <w:t xml:space="preserve"> and Alexandros Koutsogiannis</w:t>
      </w:r>
      <w:r w:rsidR="007A6B3A" w:rsidRPr="00C47C98">
        <w:t xml:space="preserve">, “Strengthening the Capacity of Parliaments through Development </w:t>
      </w:r>
      <w:r w:rsidR="00BE0554" w:rsidRPr="00C47C98">
        <w:t xml:space="preserve">of Parliamentary Research Services”, </w:t>
      </w:r>
      <w:r w:rsidR="00BE0554" w:rsidRPr="00C47C98">
        <w:rPr>
          <w:i/>
          <w:iCs/>
        </w:rPr>
        <w:t>13</w:t>
      </w:r>
      <w:r w:rsidR="00BE0554" w:rsidRPr="00C47C98">
        <w:rPr>
          <w:i/>
          <w:iCs/>
          <w:vertAlign w:val="superscript"/>
        </w:rPr>
        <w:t>th</w:t>
      </w:r>
      <w:r w:rsidR="00BE0554" w:rsidRPr="00C47C98">
        <w:rPr>
          <w:i/>
          <w:iCs/>
        </w:rPr>
        <w:t xml:space="preserve"> Workshop of Parliamentary </w:t>
      </w:r>
      <w:r w:rsidR="0080204B" w:rsidRPr="00C47C98">
        <w:rPr>
          <w:i/>
          <w:iCs/>
        </w:rPr>
        <w:t xml:space="preserve">Scholars and Parliamentarians, 29-30 July 2017, </w:t>
      </w:r>
      <w:proofErr w:type="spellStart"/>
      <w:r w:rsidR="0080204B" w:rsidRPr="00C47C98">
        <w:rPr>
          <w:i/>
          <w:iCs/>
        </w:rPr>
        <w:t>Wroxton</w:t>
      </w:r>
      <w:proofErr w:type="spellEnd"/>
      <w:r w:rsidR="0080204B" w:rsidRPr="00C47C98">
        <w:rPr>
          <w:i/>
          <w:iCs/>
        </w:rPr>
        <w:t xml:space="preserve"> College, Oxfordshire, UK</w:t>
      </w:r>
      <w:r w:rsidR="0080204B" w:rsidRPr="00C47C98">
        <w:t xml:space="preserve">. Accessed at: </w:t>
      </w:r>
      <w:hyperlink r:id="rId10" w:history="1">
        <w:r w:rsidR="008B02AB" w:rsidRPr="00C47C98">
          <w:rPr>
            <w:rStyle w:val="Hyperlink"/>
          </w:rPr>
          <w:t>https://papers.ssrn.com/sol3/papers.cfm?abstract_id=3216371</w:t>
        </w:r>
      </w:hyperlink>
      <w:r w:rsidR="008B02AB" w:rsidRPr="00C47C98">
        <w:t xml:space="preserve">. </w:t>
      </w:r>
    </w:p>
  </w:footnote>
  <w:footnote w:id="43">
    <w:p w14:paraId="092982C1" w14:textId="426F1BE1" w:rsidR="00D26086" w:rsidRPr="009840A7" w:rsidRDefault="00D26086" w:rsidP="00D26086">
      <w:pPr>
        <w:pStyle w:val="FootnoteText"/>
        <w:rPr>
          <w:lang w:val="en-US"/>
        </w:rPr>
      </w:pPr>
      <w:r w:rsidRPr="00846426">
        <w:rPr>
          <w:rStyle w:val="FootnoteReference"/>
        </w:rPr>
        <w:footnoteRef/>
      </w:r>
      <w:r w:rsidRPr="00846426">
        <w:t xml:space="preserve"> Tarek Al </w:t>
      </w:r>
      <w:proofErr w:type="spellStart"/>
      <w:r w:rsidRPr="00846426">
        <w:t>Baghal</w:t>
      </w:r>
      <w:proofErr w:type="spellEnd"/>
      <w:r w:rsidRPr="00846426">
        <w:t xml:space="preserve">, ‘Usage and impact metrics for parliamentary libraries’, </w:t>
      </w:r>
      <w:r w:rsidRPr="00846426">
        <w:rPr>
          <w:i/>
          <w:iCs/>
        </w:rPr>
        <w:t>IFLA Journal</w:t>
      </w:r>
      <w:r w:rsidRPr="00846426">
        <w:t xml:space="preserve">, 45(2) 2019, pp. 104-13; Roswitha Poll and Philip Payne, ‘Impact measures for libraries and information services’, </w:t>
      </w:r>
      <w:r w:rsidRPr="00846426">
        <w:rPr>
          <w:i/>
          <w:iCs/>
        </w:rPr>
        <w:t>Library Hi-tech</w:t>
      </w:r>
      <w:r w:rsidRPr="00846426">
        <w:t xml:space="preserve"> 24(4) 2006.</w:t>
      </w:r>
      <w:r w:rsidR="007B3AC5" w:rsidRPr="00846426">
        <w:t xml:space="preserve"> Robert Miller et al, </w:t>
      </w:r>
      <w:r w:rsidR="009840A7" w:rsidRPr="00846426">
        <w:rPr>
          <w:i/>
          <w:iCs/>
        </w:rPr>
        <w:t>Parliamentary Libraries, Institutes and Offices</w:t>
      </w:r>
      <w:r w:rsidR="009840A7" w:rsidRPr="00846426">
        <w:t>, p.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2C14"/>
    <w:multiLevelType w:val="hybridMultilevel"/>
    <w:tmpl w:val="92C2C216"/>
    <w:lvl w:ilvl="0" w:tplc="7098DC30">
      <w:start w:val="1"/>
      <w:numFmt w:val="bullet"/>
      <w:lvlText w:val="–"/>
      <w:lvlJc w:val="left"/>
      <w:pPr>
        <w:tabs>
          <w:tab w:val="num" w:pos="720"/>
        </w:tabs>
        <w:ind w:left="720" w:hanging="360"/>
      </w:pPr>
      <w:rPr>
        <w:rFonts w:ascii="Arial" w:hAnsi="Arial" w:hint="default"/>
      </w:rPr>
    </w:lvl>
    <w:lvl w:ilvl="1" w:tplc="97EA880C">
      <w:start w:val="1"/>
      <w:numFmt w:val="bullet"/>
      <w:lvlText w:val="–"/>
      <w:lvlJc w:val="left"/>
      <w:pPr>
        <w:tabs>
          <w:tab w:val="num" w:pos="1440"/>
        </w:tabs>
        <w:ind w:left="1440" w:hanging="360"/>
      </w:pPr>
      <w:rPr>
        <w:rFonts w:ascii="Arial" w:hAnsi="Arial" w:hint="default"/>
      </w:rPr>
    </w:lvl>
    <w:lvl w:ilvl="2" w:tplc="9372F7DC" w:tentative="1">
      <w:start w:val="1"/>
      <w:numFmt w:val="bullet"/>
      <w:lvlText w:val="–"/>
      <w:lvlJc w:val="left"/>
      <w:pPr>
        <w:tabs>
          <w:tab w:val="num" w:pos="2160"/>
        </w:tabs>
        <w:ind w:left="2160" w:hanging="360"/>
      </w:pPr>
      <w:rPr>
        <w:rFonts w:ascii="Arial" w:hAnsi="Arial" w:hint="default"/>
      </w:rPr>
    </w:lvl>
    <w:lvl w:ilvl="3" w:tplc="3DE84B30" w:tentative="1">
      <w:start w:val="1"/>
      <w:numFmt w:val="bullet"/>
      <w:lvlText w:val="–"/>
      <w:lvlJc w:val="left"/>
      <w:pPr>
        <w:tabs>
          <w:tab w:val="num" w:pos="2880"/>
        </w:tabs>
        <w:ind w:left="2880" w:hanging="360"/>
      </w:pPr>
      <w:rPr>
        <w:rFonts w:ascii="Arial" w:hAnsi="Arial" w:hint="default"/>
      </w:rPr>
    </w:lvl>
    <w:lvl w:ilvl="4" w:tplc="FF028016" w:tentative="1">
      <w:start w:val="1"/>
      <w:numFmt w:val="bullet"/>
      <w:lvlText w:val="–"/>
      <w:lvlJc w:val="left"/>
      <w:pPr>
        <w:tabs>
          <w:tab w:val="num" w:pos="3600"/>
        </w:tabs>
        <w:ind w:left="3600" w:hanging="360"/>
      </w:pPr>
      <w:rPr>
        <w:rFonts w:ascii="Arial" w:hAnsi="Arial" w:hint="default"/>
      </w:rPr>
    </w:lvl>
    <w:lvl w:ilvl="5" w:tplc="2B4093BC" w:tentative="1">
      <w:start w:val="1"/>
      <w:numFmt w:val="bullet"/>
      <w:lvlText w:val="–"/>
      <w:lvlJc w:val="left"/>
      <w:pPr>
        <w:tabs>
          <w:tab w:val="num" w:pos="4320"/>
        </w:tabs>
        <w:ind w:left="4320" w:hanging="360"/>
      </w:pPr>
      <w:rPr>
        <w:rFonts w:ascii="Arial" w:hAnsi="Arial" w:hint="default"/>
      </w:rPr>
    </w:lvl>
    <w:lvl w:ilvl="6" w:tplc="11042D38" w:tentative="1">
      <w:start w:val="1"/>
      <w:numFmt w:val="bullet"/>
      <w:lvlText w:val="–"/>
      <w:lvlJc w:val="left"/>
      <w:pPr>
        <w:tabs>
          <w:tab w:val="num" w:pos="5040"/>
        </w:tabs>
        <w:ind w:left="5040" w:hanging="360"/>
      </w:pPr>
      <w:rPr>
        <w:rFonts w:ascii="Arial" w:hAnsi="Arial" w:hint="default"/>
      </w:rPr>
    </w:lvl>
    <w:lvl w:ilvl="7" w:tplc="324631E4" w:tentative="1">
      <w:start w:val="1"/>
      <w:numFmt w:val="bullet"/>
      <w:lvlText w:val="–"/>
      <w:lvlJc w:val="left"/>
      <w:pPr>
        <w:tabs>
          <w:tab w:val="num" w:pos="5760"/>
        </w:tabs>
        <w:ind w:left="5760" w:hanging="360"/>
      </w:pPr>
      <w:rPr>
        <w:rFonts w:ascii="Arial" w:hAnsi="Arial" w:hint="default"/>
      </w:rPr>
    </w:lvl>
    <w:lvl w:ilvl="8" w:tplc="551CAD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D07703"/>
    <w:multiLevelType w:val="hybridMultilevel"/>
    <w:tmpl w:val="0DC0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47F03"/>
    <w:multiLevelType w:val="hybridMultilevel"/>
    <w:tmpl w:val="C6A8D41A"/>
    <w:lvl w:ilvl="0" w:tplc="7BF02516">
      <w:start w:val="1"/>
      <w:numFmt w:val="bullet"/>
      <w:lvlText w:val="•"/>
      <w:lvlJc w:val="left"/>
      <w:pPr>
        <w:tabs>
          <w:tab w:val="num" w:pos="720"/>
        </w:tabs>
        <w:ind w:left="720" w:hanging="360"/>
      </w:pPr>
      <w:rPr>
        <w:rFonts w:ascii="Arial" w:hAnsi="Arial" w:hint="default"/>
      </w:rPr>
    </w:lvl>
    <w:lvl w:ilvl="1" w:tplc="3E3E47AC" w:tentative="1">
      <w:start w:val="1"/>
      <w:numFmt w:val="bullet"/>
      <w:lvlText w:val="•"/>
      <w:lvlJc w:val="left"/>
      <w:pPr>
        <w:tabs>
          <w:tab w:val="num" w:pos="1440"/>
        </w:tabs>
        <w:ind w:left="1440" w:hanging="360"/>
      </w:pPr>
      <w:rPr>
        <w:rFonts w:ascii="Arial" w:hAnsi="Arial" w:hint="default"/>
      </w:rPr>
    </w:lvl>
    <w:lvl w:ilvl="2" w:tplc="21C60154" w:tentative="1">
      <w:start w:val="1"/>
      <w:numFmt w:val="bullet"/>
      <w:lvlText w:val="•"/>
      <w:lvlJc w:val="left"/>
      <w:pPr>
        <w:tabs>
          <w:tab w:val="num" w:pos="2160"/>
        </w:tabs>
        <w:ind w:left="2160" w:hanging="360"/>
      </w:pPr>
      <w:rPr>
        <w:rFonts w:ascii="Arial" w:hAnsi="Arial" w:hint="default"/>
      </w:rPr>
    </w:lvl>
    <w:lvl w:ilvl="3" w:tplc="2F7AC056" w:tentative="1">
      <w:start w:val="1"/>
      <w:numFmt w:val="bullet"/>
      <w:lvlText w:val="•"/>
      <w:lvlJc w:val="left"/>
      <w:pPr>
        <w:tabs>
          <w:tab w:val="num" w:pos="2880"/>
        </w:tabs>
        <w:ind w:left="2880" w:hanging="360"/>
      </w:pPr>
      <w:rPr>
        <w:rFonts w:ascii="Arial" w:hAnsi="Arial" w:hint="default"/>
      </w:rPr>
    </w:lvl>
    <w:lvl w:ilvl="4" w:tplc="212606B6" w:tentative="1">
      <w:start w:val="1"/>
      <w:numFmt w:val="bullet"/>
      <w:lvlText w:val="•"/>
      <w:lvlJc w:val="left"/>
      <w:pPr>
        <w:tabs>
          <w:tab w:val="num" w:pos="3600"/>
        </w:tabs>
        <w:ind w:left="3600" w:hanging="360"/>
      </w:pPr>
      <w:rPr>
        <w:rFonts w:ascii="Arial" w:hAnsi="Arial" w:hint="default"/>
      </w:rPr>
    </w:lvl>
    <w:lvl w:ilvl="5" w:tplc="B70262F6" w:tentative="1">
      <w:start w:val="1"/>
      <w:numFmt w:val="bullet"/>
      <w:lvlText w:val="•"/>
      <w:lvlJc w:val="left"/>
      <w:pPr>
        <w:tabs>
          <w:tab w:val="num" w:pos="4320"/>
        </w:tabs>
        <w:ind w:left="4320" w:hanging="360"/>
      </w:pPr>
      <w:rPr>
        <w:rFonts w:ascii="Arial" w:hAnsi="Arial" w:hint="default"/>
      </w:rPr>
    </w:lvl>
    <w:lvl w:ilvl="6" w:tplc="179ABF32" w:tentative="1">
      <w:start w:val="1"/>
      <w:numFmt w:val="bullet"/>
      <w:lvlText w:val="•"/>
      <w:lvlJc w:val="left"/>
      <w:pPr>
        <w:tabs>
          <w:tab w:val="num" w:pos="5040"/>
        </w:tabs>
        <w:ind w:left="5040" w:hanging="360"/>
      </w:pPr>
      <w:rPr>
        <w:rFonts w:ascii="Arial" w:hAnsi="Arial" w:hint="default"/>
      </w:rPr>
    </w:lvl>
    <w:lvl w:ilvl="7" w:tplc="942CCD48" w:tentative="1">
      <w:start w:val="1"/>
      <w:numFmt w:val="bullet"/>
      <w:lvlText w:val="•"/>
      <w:lvlJc w:val="left"/>
      <w:pPr>
        <w:tabs>
          <w:tab w:val="num" w:pos="5760"/>
        </w:tabs>
        <w:ind w:left="5760" w:hanging="360"/>
      </w:pPr>
      <w:rPr>
        <w:rFonts w:ascii="Arial" w:hAnsi="Arial" w:hint="default"/>
      </w:rPr>
    </w:lvl>
    <w:lvl w:ilvl="8" w:tplc="CB309B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9271C3"/>
    <w:multiLevelType w:val="hybridMultilevel"/>
    <w:tmpl w:val="2904C1A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551C6063"/>
    <w:multiLevelType w:val="hybridMultilevel"/>
    <w:tmpl w:val="EA66F4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6844086"/>
    <w:multiLevelType w:val="hybridMultilevel"/>
    <w:tmpl w:val="073E0E72"/>
    <w:lvl w:ilvl="0" w:tplc="771616B8">
      <w:start w:val="1"/>
      <w:numFmt w:val="bullet"/>
      <w:lvlText w:val="–"/>
      <w:lvlJc w:val="left"/>
      <w:pPr>
        <w:tabs>
          <w:tab w:val="num" w:pos="720"/>
        </w:tabs>
        <w:ind w:left="720" w:hanging="360"/>
      </w:pPr>
      <w:rPr>
        <w:rFonts w:ascii="Arial" w:hAnsi="Arial" w:hint="default"/>
      </w:rPr>
    </w:lvl>
    <w:lvl w:ilvl="1" w:tplc="E39A1F04">
      <w:start w:val="1"/>
      <w:numFmt w:val="bullet"/>
      <w:lvlText w:val="–"/>
      <w:lvlJc w:val="left"/>
      <w:pPr>
        <w:tabs>
          <w:tab w:val="num" w:pos="1440"/>
        </w:tabs>
        <w:ind w:left="1440" w:hanging="360"/>
      </w:pPr>
      <w:rPr>
        <w:rFonts w:ascii="Arial" w:hAnsi="Arial" w:hint="default"/>
      </w:rPr>
    </w:lvl>
    <w:lvl w:ilvl="2" w:tplc="3C9A645C" w:tentative="1">
      <w:start w:val="1"/>
      <w:numFmt w:val="bullet"/>
      <w:lvlText w:val="–"/>
      <w:lvlJc w:val="left"/>
      <w:pPr>
        <w:tabs>
          <w:tab w:val="num" w:pos="2160"/>
        </w:tabs>
        <w:ind w:left="2160" w:hanging="360"/>
      </w:pPr>
      <w:rPr>
        <w:rFonts w:ascii="Arial" w:hAnsi="Arial" w:hint="default"/>
      </w:rPr>
    </w:lvl>
    <w:lvl w:ilvl="3" w:tplc="A3A22B86" w:tentative="1">
      <w:start w:val="1"/>
      <w:numFmt w:val="bullet"/>
      <w:lvlText w:val="–"/>
      <w:lvlJc w:val="left"/>
      <w:pPr>
        <w:tabs>
          <w:tab w:val="num" w:pos="2880"/>
        </w:tabs>
        <w:ind w:left="2880" w:hanging="360"/>
      </w:pPr>
      <w:rPr>
        <w:rFonts w:ascii="Arial" w:hAnsi="Arial" w:hint="default"/>
      </w:rPr>
    </w:lvl>
    <w:lvl w:ilvl="4" w:tplc="2876A42A" w:tentative="1">
      <w:start w:val="1"/>
      <w:numFmt w:val="bullet"/>
      <w:lvlText w:val="–"/>
      <w:lvlJc w:val="left"/>
      <w:pPr>
        <w:tabs>
          <w:tab w:val="num" w:pos="3600"/>
        </w:tabs>
        <w:ind w:left="3600" w:hanging="360"/>
      </w:pPr>
      <w:rPr>
        <w:rFonts w:ascii="Arial" w:hAnsi="Arial" w:hint="default"/>
      </w:rPr>
    </w:lvl>
    <w:lvl w:ilvl="5" w:tplc="4BE294BE" w:tentative="1">
      <w:start w:val="1"/>
      <w:numFmt w:val="bullet"/>
      <w:lvlText w:val="–"/>
      <w:lvlJc w:val="left"/>
      <w:pPr>
        <w:tabs>
          <w:tab w:val="num" w:pos="4320"/>
        </w:tabs>
        <w:ind w:left="4320" w:hanging="360"/>
      </w:pPr>
      <w:rPr>
        <w:rFonts w:ascii="Arial" w:hAnsi="Arial" w:hint="default"/>
      </w:rPr>
    </w:lvl>
    <w:lvl w:ilvl="6" w:tplc="CCA8F9CC" w:tentative="1">
      <w:start w:val="1"/>
      <w:numFmt w:val="bullet"/>
      <w:lvlText w:val="–"/>
      <w:lvlJc w:val="left"/>
      <w:pPr>
        <w:tabs>
          <w:tab w:val="num" w:pos="5040"/>
        </w:tabs>
        <w:ind w:left="5040" w:hanging="360"/>
      </w:pPr>
      <w:rPr>
        <w:rFonts w:ascii="Arial" w:hAnsi="Arial" w:hint="default"/>
      </w:rPr>
    </w:lvl>
    <w:lvl w:ilvl="7" w:tplc="AC3880F0" w:tentative="1">
      <w:start w:val="1"/>
      <w:numFmt w:val="bullet"/>
      <w:lvlText w:val="–"/>
      <w:lvlJc w:val="left"/>
      <w:pPr>
        <w:tabs>
          <w:tab w:val="num" w:pos="5760"/>
        </w:tabs>
        <w:ind w:left="5760" w:hanging="360"/>
      </w:pPr>
      <w:rPr>
        <w:rFonts w:ascii="Arial" w:hAnsi="Arial" w:hint="default"/>
      </w:rPr>
    </w:lvl>
    <w:lvl w:ilvl="8" w:tplc="EAAAF9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F224B4"/>
    <w:multiLevelType w:val="hybridMultilevel"/>
    <w:tmpl w:val="699859F4"/>
    <w:lvl w:ilvl="0" w:tplc="7E8EB31A">
      <w:start w:val="1"/>
      <w:numFmt w:val="bullet"/>
      <w:lvlText w:val="•"/>
      <w:lvlJc w:val="left"/>
      <w:pPr>
        <w:tabs>
          <w:tab w:val="num" w:pos="720"/>
        </w:tabs>
        <w:ind w:left="720" w:hanging="360"/>
      </w:pPr>
      <w:rPr>
        <w:rFonts w:ascii="Arial" w:hAnsi="Arial" w:hint="default"/>
      </w:rPr>
    </w:lvl>
    <w:lvl w:ilvl="1" w:tplc="599C1844">
      <w:numFmt w:val="bullet"/>
      <w:lvlText w:val="–"/>
      <w:lvlJc w:val="left"/>
      <w:pPr>
        <w:tabs>
          <w:tab w:val="num" w:pos="1440"/>
        </w:tabs>
        <w:ind w:left="1440" w:hanging="360"/>
      </w:pPr>
      <w:rPr>
        <w:rFonts w:ascii="Arial" w:hAnsi="Arial" w:hint="default"/>
      </w:rPr>
    </w:lvl>
    <w:lvl w:ilvl="2" w:tplc="48C4E3B4" w:tentative="1">
      <w:start w:val="1"/>
      <w:numFmt w:val="bullet"/>
      <w:lvlText w:val="•"/>
      <w:lvlJc w:val="left"/>
      <w:pPr>
        <w:tabs>
          <w:tab w:val="num" w:pos="2160"/>
        </w:tabs>
        <w:ind w:left="2160" w:hanging="360"/>
      </w:pPr>
      <w:rPr>
        <w:rFonts w:ascii="Arial" w:hAnsi="Arial" w:hint="default"/>
      </w:rPr>
    </w:lvl>
    <w:lvl w:ilvl="3" w:tplc="EDB03E70" w:tentative="1">
      <w:start w:val="1"/>
      <w:numFmt w:val="bullet"/>
      <w:lvlText w:val="•"/>
      <w:lvlJc w:val="left"/>
      <w:pPr>
        <w:tabs>
          <w:tab w:val="num" w:pos="2880"/>
        </w:tabs>
        <w:ind w:left="2880" w:hanging="360"/>
      </w:pPr>
      <w:rPr>
        <w:rFonts w:ascii="Arial" w:hAnsi="Arial" w:hint="default"/>
      </w:rPr>
    </w:lvl>
    <w:lvl w:ilvl="4" w:tplc="B60802A0" w:tentative="1">
      <w:start w:val="1"/>
      <w:numFmt w:val="bullet"/>
      <w:lvlText w:val="•"/>
      <w:lvlJc w:val="left"/>
      <w:pPr>
        <w:tabs>
          <w:tab w:val="num" w:pos="3600"/>
        </w:tabs>
        <w:ind w:left="3600" w:hanging="360"/>
      </w:pPr>
      <w:rPr>
        <w:rFonts w:ascii="Arial" w:hAnsi="Arial" w:hint="default"/>
      </w:rPr>
    </w:lvl>
    <w:lvl w:ilvl="5" w:tplc="F47615A4" w:tentative="1">
      <w:start w:val="1"/>
      <w:numFmt w:val="bullet"/>
      <w:lvlText w:val="•"/>
      <w:lvlJc w:val="left"/>
      <w:pPr>
        <w:tabs>
          <w:tab w:val="num" w:pos="4320"/>
        </w:tabs>
        <w:ind w:left="4320" w:hanging="360"/>
      </w:pPr>
      <w:rPr>
        <w:rFonts w:ascii="Arial" w:hAnsi="Arial" w:hint="default"/>
      </w:rPr>
    </w:lvl>
    <w:lvl w:ilvl="6" w:tplc="88F0FB5C" w:tentative="1">
      <w:start w:val="1"/>
      <w:numFmt w:val="bullet"/>
      <w:lvlText w:val="•"/>
      <w:lvlJc w:val="left"/>
      <w:pPr>
        <w:tabs>
          <w:tab w:val="num" w:pos="5040"/>
        </w:tabs>
        <w:ind w:left="5040" w:hanging="360"/>
      </w:pPr>
      <w:rPr>
        <w:rFonts w:ascii="Arial" w:hAnsi="Arial" w:hint="default"/>
      </w:rPr>
    </w:lvl>
    <w:lvl w:ilvl="7" w:tplc="7E10A0CC" w:tentative="1">
      <w:start w:val="1"/>
      <w:numFmt w:val="bullet"/>
      <w:lvlText w:val="•"/>
      <w:lvlJc w:val="left"/>
      <w:pPr>
        <w:tabs>
          <w:tab w:val="num" w:pos="5760"/>
        </w:tabs>
        <w:ind w:left="5760" w:hanging="360"/>
      </w:pPr>
      <w:rPr>
        <w:rFonts w:ascii="Arial" w:hAnsi="Arial" w:hint="default"/>
      </w:rPr>
    </w:lvl>
    <w:lvl w:ilvl="8" w:tplc="3BD84C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2C4B09"/>
    <w:multiLevelType w:val="hybridMultilevel"/>
    <w:tmpl w:val="D536F6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8732402"/>
    <w:multiLevelType w:val="hybridMultilevel"/>
    <w:tmpl w:val="3EAE20D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7D946429"/>
    <w:multiLevelType w:val="hybridMultilevel"/>
    <w:tmpl w:val="82AA2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F192E04"/>
    <w:multiLevelType w:val="hybridMultilevel"/>
    <w:tmpl w:val="1626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9845EC"/>
    <w:multiLevelType w:val="hybridMultilevel"/>
    <w:tmpl w:val="3F6ED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3244796">
    <w:abstractNumId w:val="9"/>
  </w:num>
  <w:num w:numId="2" w16cid:durableId="660814119">
    <w:abstractNumId w:val="4"/>
  </w:num>
  <w:num w:numId="3" w16cid:durableId="661467993">
    <w:abstractNumId w:val="7"/>
  </w:num>
  <w:num w:numId="4" w16cid:durableId="2127499916">
    <w:abstractNumId w:val="6"/>
  </w:num>
  <w:num w:numId="5" w16cid:durableId="250045387">
    <w:abstractNumId w:val="5"/>
  </w:num>
  <w:num w:numId="6" w16cid:durableId="1953320574">
    <w:abstractNumId w:val="11"/>
  </w:num>
  <w:num w:numId="7" w16cid:durableId="1540826036">
    <w:abstractNumId w:val="8"/>
  </w:num>
  <w:num w:numId="8" w16cid:durableId="1444032039">
    <w:abstractNumId w:val="3"/>
  </w:num>
  <w:num w:numId="9" w16cid:durableId="1949390926">
    <w:abstractNumId w:val="10"/>
  </w:num>
  <w:num w:numId="10" w16cid:durableId="1888642004">
    <w:abstractNumId w:val="0"/>
  </w:num>
  <w:num w:numId="11" w16cid:durableId="1191718996">
    <w:abstractNumId w:val="2"/>
  </w:num>
  <w:num w:numId="12" w16cid:durableId="821044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B2"/>
    <w:rsid w:val="0000021A"/>
    <w:rsid w:val="00000E14"/>
    <w:rsid w:val="000015FF"/>
    <w:rsid w:val="000019A4"/>
    <w:rsid w:val="000038ED"/>
    <w:rsid w:val="0000460B"/>
    <w:rsid w:val="00006CBC"/>
    <w:rsid w:val="00006E4C"/>
    <w:rsid w:val="000079E0"/>
    <w:rsid w:val="00007B17"/>
    <w:rsid w:val="00011907"/>
    <w:rsid w:val="00012CBE"/>
    <w:rsid w:val="00012F2D"/>
    <w:rsid w:val="000132C7"/>
    <w:rsid w:val="0001343F"/>
    <w:rsid w:val="00013530"/>
    <w:rsid w:val="00015E25"/>
    <w:rsid w:val="00020EED"/>
    <w:rsid w:val="0002129F"/>
    <w:rsid w:val="00021B56"/>
    <w:rsid w:val="00022C35"/>
    <w:rsid w:val="00025325"/>
    <w:rsid w:val="000253E6"/>
    <w:rsid w:val="00025CAD"/>
    <w:rsid w:val="00026434"/>
    <w:rsid w:val="00026A34"/>
    <w:rsid w:val="000318F7"/>
    <w:rsid w:val="0003220F"/>
    <w:rsid w:val="00032FF5"/>
    <w:rsid w:val="00035792"/>
    <w:rsid w:val="000362B3"/>
    <w:rsid w:val="000366FB"/>
    <w:rsid w:val="000370CC"/>
    <w:rsid w:val="00041FE4"/>
    <w:rsid w:val="0004213A"/>
    <w:rsid w:val="00042CBB"/>
    <w:rsid w:val="00042D62"/>
    <w:rsid w:val="00043CF0"/>
    <w:rsid w:val="00044281"/>
    <w:rsid w:val="00044744"/>
    <w:rsid w:val="0004477B"/>
    <w:rsid w:val="000464AB"/>
    <w:rsid w:val="0004665C"/>
    <w:rsid w:val="0004715F"/>
    <w:rsid w:val="00050057"/>
    <w:rsid w:val="00051EE2"/>
    <w:rsid w:val="00055249"/>
    <w:rsid w:val="00055397"/>
    <w:rsid w:val="00056E99"/>
    <w:rsid w:val="000617F1"/>
    <w:rsid w:val="0006556B"/>
    <w:rsid w:val="000675A5"/>
    <w:rsid w:val="00070CE2"/>
    <w:rsid w:val="00071273"/>
    <w:rsid w:val="00071C69"/>
    <w:rsid w:val="00072474"/>
    <w:rsid w:val="00072B75"/>
    <w:rsid w:val="00073A20"/>
    <w:rsid w:val="000752C6"/>
    <w:rsid w:val="000753DF"/>
    <w:rsid w:val="00075C73"/>
    <w:rsid w:val="00077156"/>
    <w:rsid w:val="00080D7E"/>
    <w:rsid w:val="0008128C"/>
    <w:rsid w:val="00081F9C"/>
    <w:rsid w:val="0008282F"/>
    <w:rsid w:val="00082AFF"/>
    <w:rsid w:val="00083227"/>
    <w:rsid w:val="00083493"/>
    <w:rsid w:val="00084605"/>
    <w:rsid w:val="0008668A"/>
    <w:rsid w:val="000867FD"/>
    <w:rsid w:val="00086BBA"/>
    <w:rsid w:val="00086CA6"/>
    <w:rsid w:val="00086F54"/>
    <w:rsid w:val="0009060B"/>
    <w:rsid w:val="00091225"/>
    <w:rsid w:val="000916EA"/>
    <w:rsid w:val="000923DF"/>
    <w:rsid w:val="0009268F"/>
    <w:rsid w:val="00092DF1"/>
    <w:rsid w:val="0009387A"/>
    <w:rsid w:val="000942FD"/>
    <w:rsid w:val="00094D3F"/>
    <w:rsid w:val="000961B8"/>
    <w:rsid w:val="000979EB"/>
    <w:rsid w:val="00097A3C"/>
    <w:rsid w:val="000A03DB"/>
    <w:rsid w:val="000A1736"/>
    <w:rsid w:val="000A2436"/>
    <w:rsid w:val="000A5377"/>
    <w:rsid w:val="000A62E5"/>
    <w:rsid w:val="000A6A14"/>
    <w:rsid w:val="000A79F5"/>
    <w:rsid w:val="000A7F65"/>
    <w:rsid w:val="000B29FA"/>
    <w:rsid w:val="000B32B2"/>
    <w:rsid w:val="000B3404"/>
    <w:rsid w:val="000B4164"/>
    <w:rsid w:val="000B487C"/>
    <w:rsid w:val="000B488A"/>
    <w:rsid w:val="000B5425"/>
    <w:rsid w:val="000B5EC1"/>
    <w:rsid w:val="000B6D6D"/>
    <w:rsid w:val="000C03CB"/>
    <w:rsid w:val="000C24B8"/>
    <w:rsid w:val="000C2AF7"/>
    <w:rsid w:val="000C463E"/>
    <w:rsid w:val="000C5B93"/>
    <w:rsid w:val="000C75B1"/>
    <w:rsid w:val="000D26F4"/>
    <w:rsid w:val="000D2C31"/>
    <w:rsid w:val="000D3DCF"/>
    <w:rsid w:val="000D4301"/>
    <w:rsid w:val="000D5810"/>
    <w:rsid w:val="000D59D5"/>
    <w:rsid w:val="000D69B5"/>
    <w:rsid w:val="000E0D79"/>
    <w:rsid w:val="000E1C49"/>
    <w:rsid w:val="000E2E14"/>
    <w:rsid w:val="000E51E0"/>
    <w:rsid w:val="000E60EB"/>
    <w:rsid w:val="000E70DB"/>
    <w:rsid w:val="000E742A"/>
    <w:rsid w:val="000E799C"/>
    <w:rsid w:val="000E7F63"/>
    <w:rsid w:val="000F081D"/>
    <w:rsid w:val="000F0C1B"/>
    <w:rsid w:val="000F4C7C"/>
    <w:rsid w:val="000F5F54"/>
    <w:rsid w:val="000F67D5"/>
    <w:rsid w:val="000F77C9"/>
    <w:rsid w:val="00102BAC"/>
    <w:rsid w:val="001057C5"/>
    <w:rsid w:val="0011316C"/>
    <w:rsid w:val="0011353C"/>
    <w:rsid w:val="00114E80"/>
    <w:rsid w:val="00115223"/>
    <w:rsid w:val="00115624"/>
    <w:rsid w:val="00116020"/>
    <w:rsid w:val="00116E11"/>
    <w:rsid w:val="001175D7"/>
    <w:rsid w:val="00117A5A"/>
    <w:rsid w:val="00117B64"/>
    <w:rsid w:val="00117E65"/>
    <w:rsid w:val="001204B8"/>
    <w:rsid w:val="0012121C"/>
    <w:rsid w:val="00121436"/>
    <w:rsid w:val="00121AC9"/>
    <w:rsid w:val="00123F5B"/>
    <w:rsid w:val="00124703"/>
    <w:rsid w:val="00124E0C"/>
    <w:rsid w:val="00124F5A"/>
    <w:rsid w:val="00125749"/>
    <w:rsid w:val="0012655D"/>
    <w:rsid w:val="001318A3"/>
    <w:rsid w:val="00131E48"/>
    <w:rsid w:val="001321A7"/>
    <w:rsid w:val="001329A7"/>
    <w:rsid w:val="00132C35"/>
    <w:rsid w:val="00134D88"/>
    <w:rsid w:val="00135868"/>
    <w:rsid w:val="00135962"/>
    <w:rsid w:val="001364A4"/>
    <w:rsid w:val="00137E71"/>
    <w:rsid w:val="00140638"/>
    <w:rsid w:val="00141938"/>
    <w:rsid w:val="00141C03"/>
    <w:rsid w:val="00144073"/>
    <w:rsid w:val="00145B11"/>
    <w:rsid w:val="00145C1A"/>
    <w:rsid w:val="0014709C"/>
    <w:rsid w:val="00147894"/>
    <w:rsid w:val="001478C9"/>
    <w:rsid w:val="0015159E"/>
    <w:rsid w:val="00151B0A"/>
    <w:rsid w:val="00153359"/>
    <w:rsid w:val="0015395D"/>
    <w:rsid w:val="001542B3"/>
    <w:rsid w:val="001543CC"/>
    <w:rsid w:val="00155C83"/>
    <w:rsid w:val="00156841"/>
    <w:rsid w:val="00160946"/>
    <w:rsid w:val="00160FBD"/>
    <w:rsid w:val="00161D4F"/>
    <w:rsid w:val="00162D45"/>
    <w:rsid w:val="00163014"/>
    <w:rsid w:val="0016485E"/>
    <w:rsid w:val="00165B3B"/>
    <w:rsid w:val="00166151"/>
    <w:rsid w:val="00166B72"/>
    <w:rsid w:val="00167E36"/>
    <w:rsid w:val="00170966"/>
    <w:rsid w:val="001720C1"/>
    <w:rsid w:val="001729F2"/>
    <w:rsid w:val="00173223"/>
    <w:rsid w:val="00173702"/>
    <w:rsid w:val="00174C09"/>
    <w:rsid w:val="00175892"/>
    <w:rsid w:val="001760DA"/>
    <w:rsid w:val="00176C98"/>
    <w:rsid w:val="001824F1"/>
    <w:rsid w:val="00183AFE"/>
    <w:rsid w:val="00184014"/>
    <w:rsid w:val="001860B8"/>
    <w:rsid w:val="00187F71"/>
    <w:rsid w:val="001903FD"/>
    <w:rsid w:val="00192A00"/>
    <w:rsid w:val="00192CC9"/>
    <w:rsid w:val="00193E89"/>
    <w:rsid w:val="00194726"/>
    <w:rsid w:val="00194D35"/>
    <w:rsid w:val="0019507B"/>
    <w:rsid w:val="00196DA3"/>
    <w:rsid w:val="001979D7"/>
    <w:rsid w:val="001A01B1"/>
    <w:rsid w:val="001A1F5B"/>
    <w:rsid w:val="001A3FDC"/>
    <w:rsid w:val="001A4849"/>
    <w:rsid w:val="001B0741"/>
    <w:rsid w:val="001B084A"/>
    <w:rsid w:val="001B2835"/>
    <w:rsid w:val="001B3BDF"/>
    <w:rsid w:val="001B473C"/>
    <w:rsid w:val="001B5095"/>
    <w:rsid w:val="001B6DE4"/>
    <w:rsid w:val="001B7CFD"/>
    <w:rsid w:val="001C300D"/>
    <w:rsid w:val="001C394C"/>
    <w:rsid w:val="001C59D5"/>
    <w:rsid w:val="001C5C9A"/>
    <w:rsid w:val="001C69A9"/>
    <w:rsid w:val="001D071C"/>
    <w:rsid w:val="001D4418"/>
    <w:rsid w:val="001D74E3"/>
    <w:rsid w:val="001D7E23"/>
    <w:rsid w:val="001E007E"/>
    <w:rsid w:val="001E057D"/>
    <w:rsid w:val="001E08F7"/>
    <w:rsid w:val="001E1B50"/>
    <w:rsid w:val="001E2E96"/>
    <w:rsid w:val="001E30D1"/>
    <w:rsid w:val="001E40F2"/>
    <w:rsid w:val="001E44DA"/>
    <w:rsid w:val="001E4ECB"/>
    <w:rsid w:val="001E5324"/>
    <w:rsid w:val="001E6E38"/>
    <w:rsid w:val="001E77F5"/>
    <w:rsid w:val="001E7B85"/>
    <w:rsid w:val="001F1143"/>
    <w:rsid w:val="001F1948"/>
    <w:rsid w:val="001F20B6"/>
    <w:rsid w:val="001F24DF"/>
    <w:rsid w:val="001F4052"/>
    <w:rsid w:val="001F58BB"/>
    <w:rsid w:val="001F648E"/>
    <w:rsid w:val="001F668C"/>
    <w:rsid w:val="001F70E7"/>
    <w:rsid w:val="00201DE0"/>
    <w:rsid w:val="00203041"/>
    <w:rsid w:val="00203426"/>
    <w:rsid w:val="00203729"/>
    <w:rsid w:val="00206290"/>
    <w:rsid w:val="00210229"/>
    <w:rsid w:val="00210946"/>
    <w:rsid w:val="00210F23"/>
    <w:rsid w:val="00211FFD"/>
    <w:rsid w:val="00212FA6"/>
    <w:rsid w:val="002136E8"/>
    <w:rsid w:val="0021526D"/>
    <w:rsid w:val="00215FE3"/>
    <w:rsid w:val="00217C04"/>
    <w:rsid w:val="00220334"/>
    <w:rsid w:val="00221AE7"/>
    <w:rsid w:val="00224A03"/>
    <w:rsid w:val="00224DA3"/>
    <w:rsid w:val="00225EA4"/>
    <w:rsid w:val="00227FB0"/>
    <w:rsid w:val="00231503"/>
    <w:rsid w:val="00231C3A"/>
    <w:rsid w:val="00235C73"/>
    <w:rsid w:val="002376F1"/>
    <w:rsid w:val="002402FB"/>
    <w:rsid w:val="00240B85"/>
    <w:rsid w:val="00241B11"/>
    <w:rsid w:val="002427FB"/>
    <w:rsid w:val="0024313F"/>
    <w:rsid w:val="00250449"/>
    <w:rsid w:val="00253710"/>
    <w:rsid w:val="00253DCB"/>
    <w:rsid w:val="00253EAB"/>
    <w:rsid w:val="00253EE3"/>
    <w:rsid w:val="0025550B"/>
    <w:rsid w:val="00257821"/>
    <w:rsid w:val="002602E3"/>
    <w:rsid w:val="0026094A"/>
    <w:rsid w:val="0026105F"/>
    <w:rsid w:val="00261479"/>
    <w:rsid w:val="002650D9"/>
    <w:rsid w:val="002673FB"/>
    <w:rsid w:val="002675E0"/>
    <w:rsid w:val="00270E13"/>
    <w:rsid w:val="00273924"/>
    <w:rsid w:val="00273E08"/>
    <w:rsid w:val="00275F3B"/>
    <w:rsid w:val="0027627F"/>
    <w:rsid w:val="002767BE"/>
    <w:rsid w:val="00280707"/>
    <w:rsid w:val="00284874"/>
    <w:rsid w:val="002856DE"/>
    <w:rsid w:val="00286A61"/>
    <w:rsid w:val="00286AA3"/>
    <w:rsid w:val="00287543"/>
    <w:rsid w:val="002A06CB"/>
    <w:rsid w:val="002A137E"/>
    <w:rsid w:val="002A2E7D"/>
    <w:rsid w:val="002A4E3B"/>
    <w:rsid w:val="002A7147"/>
    <w:rsid w:val="002A7B9F"/>
    <w:rsid w:val="002B45AD"/>
    <w:rsid w:val="002C02EE"/>
    <w:rsid w:val="002C5792"/>
    <w:rsid w:val="002C5B54"/>
    <w:rsid w:val="002D14B5"/>
    <w:rsid w:val="002D2B5A"/>
    <w:rsid w:val="002D3D8C"/>
    <w:rsid w:val="002D48D5"/>
    <w:rsid w:val="002D5792"/>
    <w:rsid w:val="002E04C6"/>
    <w:rsid w:val="002E1F8A"/>
    <w:rsid w:val="002E30B1"/>
    <w:rsid w:val="002E3953"/>
    <w:rsid w:val="002E3A83"/>
    <w:rsid w:val="002E4A89"/>
    <w:rsid w:val="002E750B"/>
    <w:rsid w:val="002E7E60"/>
    <w:rsid w:val="002F0277"/>
    <w:rsid w:val="002F2C0F"/>
    <w:rsid w:val="002F4766"/>
    <w:rsid w:val="002F5260"/>
    <w:rsid w:val="002F6D8F"/>
    <w:rsid w:val="002F7E98"/>
    <w:rsid w:val="003037AF"/>
    <w:rsid w:val="00304950"/>
    <w:rsid w:val="003051F7"/>
    <w:rsid w:val="003055C3"/>
    <w:rsid w:val="0030629A"/>
    <w:rsid w:val="00306B55"/>
    <w:rsid w:val="00307151"/>
    <w:rsid w:val="003074BA"/>
    <w:rsid w:val="00310579"/>
    <w:rsid w:val="00312ABE"/>
    <w:rsid w:val="00315C04"/>
    <w:rsid w:val="00316BEB"/>
    <w:rsid w:val="00317880"/>
    <w:rsid w:val="003178B3"/>
    <w:rsid w:val="003208AF"/>
    <w:rsid w:val="00321505"/>
    <w:rsid w:val="0032163E"/>
    <w:rsid w:val="00322BE2"/>
    <w:rsid w:val="003236E7"/>
    <w:rsid w:val="0032458B"/>
    <w:rsid w:val="00324F49"/>
    <w:rsid w:val="0032716E"/>
    <w:rsid w:val="00327E8E"/>
    <w:rsid w:val="00327F77"/>
    <w:rsid w:val="0033087D"/>
    <w:rsid w:val="00330A0C"/>
    <w:rsid w:val="00330D59"/>
    <w:rsid w:val="00331058"/>
    <w:rsid w:val="00331D14"/>
    <w:rsid w:val="00332566"/>
    <w:rsid w:val="00332691"/>
    <w:rsid w:val="003337F4"/>
    <w:rsid w:val="00334575"/>
    <w:rsid w:val="00337750"/>
    <w:rsid w:val="003377C4"/>
    <w:rsid w:val="003401E2"/>
    <w:rsid w:val="00340CA5"/>
    <w:rsid w:val="00341CBC"/>
    <w:rsid w:val="00342974"/>
    <w:rsid w:val="00350B8B"/>
    <w:rsid w:val="00351570"/>
    <w:rsid w:val="00352145"/>
    <w:rsid w:val="00352B61"/>
    <w:rsid w:val="003532B8"/>
    <w:rsid w:val="003533FF"/>
    <w:rsid w:val="00354277"/>
    <w:rsid w:val="00354D5A"/>
    <w:rsid w:val="00354EDA"/>
    <w:rsid w:val="00355FFF"/>
    <w:rsid w:val="00357C3F"/>
    <w:rsid w:val="0036018A"/>
    <w:rsid w:val="003606B6"/>
    <w:rsid w:val="003607AA"/>
    <w:rsid w:val="00360A79"/>
    <w:rsid w:val="00362957"/>
    <w:rsid w:val="00363BD3"/>
    <w:rsid w:val="00364280"/>
    <w:rsid w:val="003646CF"/>
    <w:rsid w:val="003646D3"/>
    <w:rsid w:val="0036480A"/>
    <w:rsid w:val="00366FFA"/>
    <w:rsid w:val="003676D6"/>
    <w:rsid w:val="003701A2"/>
    <w:rsid w:val="00371A41"/>
    <w:rsid w:val="00373D7A"/>
    <w:rsid w:val="00375CA7"/>
    <w:rsid w:val="00375CF9"/>
    <w:rsid w:val="00376B75"/>
    <w:rsid w:val="00380292"/>
    <w:rsid w:val="00381752"/>
    <w:rsid w:val="003818DD"/>
    <w:rsid w:val="00382036"/>
    <w:rsid w:val="00384990"/>
    <w:rsid w:val="00384AB2"/>
    <w:rsid w:val="00385FBA"/>
    <w:rsid w:val="00386519"/>
    <w:rsid w:val="003903A6"/>
    <w:rsid w:val="00391312"/>
    <w:rsid w:val="00393094"/>
    <w:rsid w:val="00393304"/>
    <w:rsid w:val="00394A8D"/>
    <w:rsid w:val="00395687"/>
    <w:rsid w:val="00396B29"/>
    <w:rsid w:val="003A0796"/>
    <w:rsid w:val="003A4120"/>
    <w:rsid w:val="003A5A69"/>
    <w:rsid w:val="003A71E9"/>
    <w:rsid w:val="003B0B3F"/>
    <w:rsid w:val="003B154A"/>
    <w:rsid w:val="003B255D"/>
    <w:rsid w:val="003B27E3"/>
    <w:rsid w:val="003B321A"/>
    <w:rsid w:val="003B5A01"/>
    <w:rsid w:val="003B62FA"/>
    <w:rsid w:val="003B6754"/>
    <w:rsid w:val="003B7D8D"/>
    <w:rsid w:val="003C0398"/>
    <w:rsid w:val="003C44AC"/>
    <w:rsid w:val="003C4B50"/>
    <w:rsid w:val="003C4BE7"/>
    <w:rsid w:val="003C762B"/>
    <w:rsid w:val="003D410E"/>
    <w:rsid w:val="003E21F2"/>
    <w:rsid w:val="003E2AB6"/>
    <w:rsid w:val="003E562A"/>
    <w:rsid w:val="003E7E44"/>
    <w:rsid w:val="003E7E88"/>
    <w:rsid w:val="003F0842"/>
    <w:rsid w:val="003F18E8"/>
    <w:rsid w:val="003F1A04"/>
    <w:rsid w:val="003F1CB9"/>
    <w:rsid w:val="003F2C4C"/>
    <w:rsid w:val="003F37AC"/>
    <w:rsid w:val="003F3C97"/>
    <w:rsid w:val="003F4409"/>
    <w:rsid w:val="003F6749"/>
    <w:rsid w:val="003F7361"/>
    <w:rsid w:val="004017CF"/>
    <w:rsid w:val="00401980"/>
    <w:rsid w:val="00403028"/>
    <w:rsid w:val="004044F5"/>
    <w:rsid w:val="00404C88"/>
    <w:rsid w:val="00406250"/>
    <w:rsid w:val="00407D52"/>
    <w:rsid w:val="004120B9"/>
    <w:rsid w:val="004129C3"/>
    <w:rsid w:val="00413188"/>
    <w:rsid w:val="00413441"/>
    <w:rsid w:val="004139F0"/>
    <w:rsid w:val="00413DB5"/>
    <w:rsid w:val="00415B2A"/>
    <w:rsid w:val="00420039"/>
    <w:rsid w:val="00420EA7"/>
    <w:rsid w:val="00420EFA"/>
    <w:rsid w:val="0042143B"/>
    <w:rsid w:val="004235D7"/>
    <w:rsid w:val="00425907"/>
    <w:rsid w:val="00426FA5"/>
    <w:rsid w:val="004274A9"/>
    <w:rsid w:val="004275A2"/>
    <w:rsid w:val="00427ADE"/>
    <w:rsid w:val="00431FE3"/>
    <w:rsid w:val="00433BD4"/>
    <w:rsid w:val="0043474B"/>
    <w:rsid w:val="004377FA"/>
    <w:rsid w:val="004405E0"/>
    <w:rsid w:val="004418DC"/>
    <w:rsid w:val="0044204E"/>
    <w:rsid w:val="00442822"/>
    <w:rsid w:val="0044338B"/>
    <w:rsid w:val="00445A54"/>
    <w:rsid w:val="00446D0F"/>
    <w:rsid w:val="00447D51"/>
    <w:rsid w:val="00451296"/>
    <w:rsid w:val="00452465"/>
    <w:rsid w:val="004536A0"/>
    <w:rsid w:val="004569A3"/>
    <w:rsid w:val="00456BAA"/>
    <w:rsid w:val="004570F1"/>
    <w:rsid w:val="00461320"/>
    <w:rsid w:val="00461A3F"/>
    <w:rsid w:val="00464809"/>
    <w:rsid w:val="00465F23"/>
    <w:rsid w:val="004673B7"/>
    <w:rsid w:val="004674A4"/>
    <w:rsid w:val="00467EC6"/>
    <w:rsid w:val="004710ED"/>
    <w:rsid w:val="00471722"/>
    <w:rsid w:val="00472BB2"/>
    <w:rsid w:val="00473458"/>
    <w:rsid w:val="00474017"/>
    <w:rsid w:val="00474D06"/>
    <w:rsid w:val="00474DE5"/>
    <w:rsid w:val="00476534"/>
    <w:rsid w:val="004770F2"/>
    <w:rsid w:val="00480550"/>
    <w:rsid w:val="00481CC6"/>
    <w:rsid w:val="00482330"/>
    <w:rsid w:val="0048300D"/>
    <w:rsid w:val="00483099"/>
    <w:rsid w:val="00483F6A"/>
    <w:rsid w:val="00484C13"/>
    <w:rsid w:val="00485D96"/>
    <w:rsid w:val="0048701A"/>
    <w:rsid w:val="00487F1F"/>
    <w:rsid w:val="00487F56"/>
    <w:rsid w:val="00492CBB"/>
    <w:rsid w:val="00494BB8"/>
    <w:rsid w:val="00495DB3"/>
    <w:rsid w:val="00497001"/>
    <w:rsid w:val="00497D83"/>
    <w:rsid w:val="00497E84"/>
    <w:rsid w:val="004A185C"/>
    <w:rsid w:val="004A480D"/>
    <w:rsid w:val="004A54F4"/>
    <w:rsid w:val="004A59EF"/>
    <w:rsid w:val="004A604E"/>
    <w:rsid w:val="004B06E9"/>
    <w:rsid w:val="004B081B"/>
    <w:rsid w:val="004B0A74"/>
    <w:rsid w:val="004B1118"/>
    <w:rsid w:val="004B5A55"/>
    <w:rsid w:val="004B6170"/>
    <w:rsid w:val="004C047B"/>
    <w:rsid w:val="004C07E9"/>
    <w:rsid w:val="004C0E82"/>
    <w:rsid w:val="004C1755"/>
    <w:rsid w:val="004C2400"/>
    <w:rsid w:val="004C27E2"/>
    <w:rsid w:val="004C2C43"/>
    <w:rsid w:val="004C2FD3"/>
    <w:rsid w:val="004C3152"/>
    <w:rsid w:val="004C602A"/>
    <w:rsid w:val="004C7807"/>
    <w:rsid w:val="004C783A"/>
    <w:rsid w:val="004D1485"/>
    <w:rsid w:val="004D2C7A"/>
    <w:rsid w:val="004D40A6"/>
    <w:rsid w:val="004D4C8C"/>
    <w:rsid w:val="004D5E6E"/>
    <w:rsid w:val="004D6300"/>
    <w:rsid w:val="004E0E7D"/>
    <w:rsid w:val="004E37E9"/>
    <w:rsid w:val="004E5465"/>
    <w:rsid w:val="004E6522"/>
    <w:rsid w:val="004E6B22"/>
    <w:rsid w:val="004F0FEC"/>
    <w:rsid w:val="004F1079"/>
    <w:rsid w:val="004F1F8D"/>
    <w:rsid w:val="004F2335"/>
    <w:rsid w:val="004F2F8A"/>
    <w:rsid w:val="004F3036"/>
    <w:rsid w:val="004F440E"/>
    <w:rsid w:val="004F4F7F"/>
    <w:rsid w:val="004F7627"/>
    <w:rsid w:val="00501124"/>
    <w:rsid w:val="00502B55"/>
    <w:rsid w:val="005032A7"/>
    <w:rsid w:val="00503357"/>
    <w:rsid w:val="00503600"/>
    <w:rsid w:val="00503859"/>
    <w:rsid w:val="0050482C"/>
    <w:rsid w:val="00505189"/>
    <w:rsid w:val="00506E66"/>
    <w:rsid w:val="005104CE"/>
    <w:rsid w:val="005109BC"/>
    <w:rsid w:val="00513229"/>
    <w:rsid w:val="00513C9D"/>
    <w:rsid w:val="005147A5"/>
    <w:rsid w:val="00514F25"/>
    <w:rsid w:val="00515FA5"/>
    <w:rsid w:val="00516EFF"/>
    <w:rsid w:val="00517FB2"/>
    <w:rsid w:val="00520B2C"/>
    <w:rsid w:val="00520CAA"/>
    <w:rsid w:val="00523AC8"/>
    <w:rsid w:val="0052434E"/>
    <w:rsid w:val="00525642"/>
    <w:rsid w:val="00525CC2"/>
    <w:rsid w:val="00526710"/>
    <w:rsid w:val="00526933"/>
    <w:rsid w:val="00527E51"/>
    <w:rsid w:val="00531188"/>
    <w:rsid w:val="00531BB0"/>
    <w:rsid w:val="00532372"/>
    <w:rsid w:val="00533753"/>
    <w:rsid w:val="005338B9"/>
    <w:rsid w:val="00533B1D"/>
    <w:rsid w:val="0053422F"/>
    <w:rsid w:val="00542204"/>
    <w:rsid w:val="0054326C"/>
    <w:rsid w:val="0054399A"/>
    <w:rsid w:val="00545648"/>
    <w:rsid w:val="00545679"/>
    <w:rsid w:val="00545C29"/>
    <w:rsid w:val="00547D6C"/>
    <w:rsid w:val="005502C1"/>
    <w:rsid w:val="00550C11"/>
    <w:rsid w:val="0055202F"/>
    <w:rsid w:val="005525AD"/>
    <w:rsid w:val="00552FD1"/>
    <w:rsid w:val="00553820"/>
    <w:rsid w:val="00553CC5"/>
    <w:rsid w:val="005545CD"/>
    <w:rsid w:val="005553ED"/>
    <w:rsid w:val="00555AE3"/>
    <w:rsid w:val="0055760A"/>
    <w:rsid w:val="005579DD"/>
    <w:rsid w:val="005613D7"/>
    <w:rsid w:val="00562725"/>
    <w:rsid w:val="00562D05"/>
    <w:rsid w:val="005639FA"/>
    <w:rsid w:val="00564589"/>
    <w:rsid w:val="005658CF"/>
    <w:rsid w:val="00566DF1"/>
    <w:rsid w:val="00567655"/>
    <w:rsid w:val="005679F3"/>
    <w:rsid w:val="00570B51"/>
    <w:rsid w:val="0057100A"/>
    <w:rsid w:val="00573C2D"/>
    <w:rsid w:val="005750C1"/>
    <w:rsid w:val="00577B20"/>
    <w:rsid w:val="0058103F"/>
    <w:rsid w:val="00582690"/>
    <w:rsid w:val="005841B4"/>
    <w:rsid w:val="00584EDF"/>
    <w:rsid w:val="00585708"/>
    <w:rsid w:val="00585C7D"/>
    <w:rsid w:val="00586053"/>
    <w:rsid w:val="00586DE7"/>
    <w:rsid w:val="0058734F"/>
    <w:rsid w:val="00587708"/>
    <w:rsid w:val="00590736"/>
    <w:rsid w:val="00591627"/>
    <w:rsid w:val="00592002"/>
    <w:rsid w:val="0059235F"/>
    <w:rsid w:val="00593414"/>
    <w:rsid w:val="0059344A"/>
    <w:rsid w:val="005948FD"/>
    <w:rsid w:val="00594DD3"/>
    <w:rsid w:val="00595801"/>
    <w:rsid w:val="00596639"/>
    <w:rsid w:val="00596CA8"/>
    <w:rsid w:val="0059798A"/>
    <w:rsid w:val="00597EBE"/>
    <w:rsid w:val="005A070A"/>
    <w:rsid w:val="005A240B"/>
    <w:rsid w:val="005A3A22"/>
    <w:rsid w:val="005A4F7E"/>
    <w:rsid w:val="005A6880"/>
    <w:rsid w:val="005A7B07"/>
    <w:rsid w:val="005B00E7"/>
    <w:rsid w:val="005B0407"/>
    <w:rsid w:val="005B1FA4"/>
    <w:rsid w:val="005B234B"/>
    <w:rsid w:val="005B24C4"/>
    <w:rsid w:val="005B3FB9"/>
    <w:rsid w:val="005B7806"/>
    <w:rsid w:val="005C033B"/>
    <w:rsid w:val="005C0375"/>
    <w:rsid w:val="005C08A3"/>
    <w:rsid w:val="005C0D1C"/>
    <w:rsid w:val="005C0EBB"/>
    <w:rsid w:val="005C1715"/>
    <w:rsid w:val="005C1AAB"/>
    <w:rsid w:val="005C1F79"/>
    <w:rsid w:val="005C271B"/>
    <w:rsid w:val="005C3B5A"/>
    <w:rsid w:val="005C40CE"/>
    <w:rsid w:val="005C41C9"/>
    <w:rsid w:val="005C5200"/>
    <w:rsid w:val="005C7074"/>
    <w:rsid w:val="005C776F"/>
    <w:rsid w:val="005D149D"/>
    <w:rsid w:val="005D1800"/>
    <w:rsid w:val="005D19A6"/>
    <w:rsid w:val="005D1F37"/>
    <w:rsid w:val="005D21FB"/>
    <w:rsid w:val="005D2459"/>
    <w:rsid w:val="005D2F22"/>
    <w:rsid w:val="005D5CC4"/>
    <w:rsid w:val="005D7BD5"/>
    <w:rsid w:val="005E0A12"/>
    <w:rsid w:val="005E0FD3"/>
    <w:rsid w:val="005E1A61"/>
    <w:rsid w:val="005E31D8"/>
    <w:rsid w:val="005E472D"/>
    <w:rsid w:val="005E56A8"/>
    <w:rsid w:val="005E6A62"/>
    <w:rsid w:val="005E6E14"/>
    <w:rsid w:val="005F078F"/>
    <w:rsid w:val="005F091C"/>
    <w:rsid w:val="005F0ED7"/>
    <w:rsid w:val="005F3851"/>
    <w:rsid w:val="005F41B1"/>
    <w:rsid w:val="005F51C4"/>
    <w:rsid w:val="00602F33"/>
    <w:rsid w:val="00603742"/>
    <w:rsid w:val="0060405E"/>
    <w:rsid w:val="00604705"/>
    <w:rsid w:val="00604C55"/>
    <w:rsid w:val="00606A46"/>
    <w:rsid w:val="00607E9E"/>
    <w:rsid w:val="006114EB"/>
    <w:rsid w:val="006130D0"/>
    <w:rsid w:val="006138DF"/>
    <w:rsid w:val="00615EE8"/>
    <w:rsid w:val="00616570"/>
    <w:rsid w:val="00616E43"/>
    <w:rsid w:val="00617A61"/>
    <w:rsid w:val="00623C34"/>
    <w:rsid w:val="00630433"/>
    <w:rsid w:val="00630A07"/>
    <w:rsid w:val="00631C44"/>
    <w:rsid w:val="0063402B"/>
    <w:rsid w:val="00635222"/>
    <w:rsid w:val="00637353"/>
    <w:rsid w:val="00637B69"/>
    <w:rsid w:val="00637CF7"/>
    <w:rsid w:val="00637D7A"/>
    <w:rsid w:val="0064116B"/>
    <w:rsid w:val="00641CCF"/>
    <w:rsid w:val="0064308D"/>
    <w:rsid w:val="0064405D"/>
    <w:rsid w:val="00644C26"/>
    <w:rsid w:val="00645F5C"/>
    <w:rsid w:val="00646417"/>
    <w:rsid w:val="00647B17"/>
    <w:rsid w:val="00652131"/>
    <w:rsid w:val="00652B4C"/>
    <w:rsid w:val="006533DC"/>
    <w:rsid w:val="006539D7"/>
    <w:rsid w:val="00655F20"/>
    <w:rsid w:val="006561AA"/>
    <w:rsid w:val="00661C95"/>
    <w:rsid w:val="00661E2A"/>
    <w:rsid w:val="006626CF"/>
    <w:rsid w:val="006626E7"/>
    <w:rsid w:val="00664DB3"/>
    <w:rsid w:val="00665C1C"/>
    <w:rsid w:val="00670381"/>
    <w:rsid w:val="00670C63"/>
    <w:rsid w:val="00671DFF"/>
    <w:rsid w:val="0067220F"/>
    <w:rsid w:val="006731F5"/>
    <w:rsid w:val="0067437F"/>
    <w:rsid w:val="006760D3"/>
    <w:rsid w:val="006771FD"/>
    <w:rsid w:val="006802AB"/>
    <w:rsid w:val="006809E9"/>
    <w:rsid w:val="00680B54"/>
    <w:rsid w:val="006819DD"/>
    <w:rsid w:val="00681A7E"/>
    <w:rsid w:val="006847ED"/>
    <w:rsid w:val="0068483E"/>
    <w:rsid w:val="00687CC6"/>
    <w:rsid w:val="00687ED0"/>
    <w:rsid w:val="00690856"/>
    <w:rsid w:val="0069285A"/>
    <w:rsid w:val="006939D5"/>
    <w:rsid w:val="00693BDE"/>
    <w:rsid w:val="006959EC"/>
    <w:rsid w:val="00695A90"/>
    <w:rsid w:val="00695F72"/>
    <w:rsid w:val="006A1101"/>
    <w:rsid w:val="006A1F41"/>
    <w:rsid w:val="006A309D"/>
    <w:rsid w:val="006A3364"/>
    <w:rsid w:val="006A421C"/>
    <w:rsid w:val="006A6B89"/>
    <w:rsid w:val="006B0047"/>
    <w:rsid w:val="006B1E5A"/>
    <w:rsid w:val="006B4377"/>
    <w:rsid w:val="006C023E"/>
    <w:rsid w:val="006C0B1A"/>
    <w:rsid w:val="006C2CE1"/>
    <w:rsid w:val="006C3307"/>
    <w:rsid w:val="006C5467"/>
    <w:rsid w:val="006C72D0"/>
    <w:rsid w:val="006D0EB1"/>
    <w:rsid w:val="006D151D"/>
    <w:rsid w:val="006D15D4"/>
    <w:rsid w:val="006D1AFC"/>
    <w:rsid w:val="006D20FB"/>
    <w:rsid w:val="006D2598"/>
    <w:rsid w:val="006D2BE1"/>
    <w:rsid w:val="006D3BB2"/>
    <w:rsid w:val="006D3E10"/>
    <w:rsid w:val="006D7442"/>
    <w:rsid w:val="006D772C"/>
    <w:rsid w:val="006D7DF8"/>
    <w:rsid w:val="006E1CF0"/>
    <w:rsid w:val="006E2255"/>
    <w:rsid w:val="006E2CC4"/>
    <w:rsid w:val="006E3CA2"/>
    <w:rsid w:val="006E4805"/>
    <w:rsid w:val="006E4B64"/>
    <w:rsid w:val="006F0E85"/>
    <w:rsid w:val="006F1F1F"/>
    <w:rsid w:val="006F2080"/>
    <w:rsid w:val="006F2256"/>
    <w:rsid w:val="006F2AAA"/>
    <w:rsid w:val="006F351A"/>
    <w:rsid w:val="006F3C40"/>
    <w:rsid w:val="006F54C3"/>
    <w:rsid w:val="006F79AD"/>
    <w:rsid w:val="006F7B07"/>
    <w:rsid w:val="00701C8F"/>
    <w:rsid w:val="007025E6"/>
    <w:rsid w:val="007043B8"/>
    <w:rsid w:val="0070477B"/>
    <w:rsid w:val="00704883"/>
    <w:rsid w:val="00704DC7"/>
    <w:rsid w:val="0070529B"/>
    <w:rsid w:val="00711805"/>
    <w:rsid w:val="00716B0F"/>
    <w:rsid w:val="00717204"/>
    <w:rsid w:val="00717286"/>
    <w:rsid w:val="00720D87"/>
    <w:rsid w:val="00721D99"/>
    <w:rsid w:val="00722647"/>
    <w:rsid w:val="007241FE"/>
    <w:rsid w:val="00726DE5"/>
    <w:rsid w:val="00727216"/>
    <w:rsid w:val="00727B3B"/>
    <w:rsid w:val="00731878"/>
    <w:rsid w:val="007318A2"/>
    <w:rsid w:val="00731B14"/>
    <w:rsid w:val="00731B75"/>
    <w:rsid w:val="007343A0"/>
    <w:rsid w:val="00734B88"/>
    <w:rsid w:val="00735B22"/>
    <w:rsid w:val="00735CF6"/>
    <w:rsid w:val="00737573"/>
    <w:rsid w:val="00740FE3"/>
    <w:rsid w:val="0074136D"/>
    <w:rsid w:val="00741BEF"/>
    <w:rsid w:val="00742D53"/>
    <w:rsid w:val="00742F81"/>
    <w:rsid w:val="00743CF0"/>
    <w:rsid w:val="00745A04"/>
    <w:rsid w:val="00751864"/>
    <w:rsid w:val="00752137"/>
    <w:rsid w:val="00753802"/>
    <w:rsid w:val="0075460E"/>
    <w:rsid w:val="00754A99"/>
    <w:rsid w:val="00756152"/>
    <w:rsid w:val="0075702F"/>
    <w:rsid w:val="00763F24"/>
    <w:rsid w:val="00764448"/>
    <w:rsid w:val="007649BD"/>
    <w:rsid w:val="00765461"/>
    <w:rsid w:val="00766287"/>
    <w:rsid w:val="0076754A"/>
    <w:rsid w:val="0076795E"/>
    <w:rsid w:val="00770055"/>
    <w:rsid w:val="00770440"/>
    <w:rsid w:val="00770497"/>
    <w:rsid w:val="00775B05"/>
    <w:rsid w:val="00776857"/>
    <w:rsid w:val="00777066"/>
    <w:rsid w:val="0077738C"/>
    <w:rsid w:val="0077740F"/>
    <w:rsid w:val="0078047B"/>
    <w:rsid w:val="007810DE"/>
    <w:rsid w:val="00783EC0"/>
    <w:rsid w:val="00785B92"/>
    <w:rsid w:val="00785FE5"/>
    <w:rsid w:val="00786354"/>
    <w:rsid w:val="00786F4A"/>
    <w:rsid w:val="00791ED2"/>
    <w:rsid w:val="00792B43"/>
    <w:rsid w:val="007938BB"/>
    <w:rsid w:val="00795BD1"/>
    <w:rsid w:val="0079689C"/>
    <w:rsid w:val="00797829"/>
    <w:rsid w:val="00797D9F"/>
    <w:rsid w:val="007A1E8D"/>
    <w:rsid w:val="007A1F64"/>
    <w:rsid w:val="007A332A"/>
    <w:rsid w:val="007A354A"/>
    <w:rsid w:val="007A6B3A"/>
    <w:rsid w:val="007A6BB0"/>
    <w:rsid w:val="007A6BD2"/>
    <w:rsid w:val="007A7222"/>
    <w:rsid w:val="007A7588"/>
    <w:rsid w:val="007B052E"/>
    <w:rsid w:val="007B056E"/>
    <w:rsid w:val="007B24BA"/>
    <w:rsid w:val="007B26BB"/>
    <w:rsid w:val="007B3173"/>
    <w:rsid w:val="007B374D"/>
    <w:rsid w:val="007B3AC5"/>
    <w:rsid w:val="007B4032"/>
    <w:rsid w:val="007B415B"/>
    <w:rsid w:val="007B750A"/>
    <w:rsid w:val="007B7C82"/>
    <w:rsid w:val="007C1A83"/>
    <w:rsid w:val="007C1B42"/>
    <w:rsid w:val="007C2DE3"/>
    <w:rsid w:val="007D09C0"/>
    <w:rsid w:val="007D0BF0"/>
    <w:rsid w:val="007D1693"/>
    <w:rsid w:val="007D2816"/>
    <w:rsid w:val="007D37E4"/>
    <w:rsid w:val="007D4236"/>
    <w:rsid w:val="007D4BAB"/>
    <w:rsid w:val="007D65B9"/>
    <w:rsid w:val="007E154F"/>
    <w:rsid w:val="007E1897"/>
    <w:rsid w:val="007E3C7E"/>
    <w:rsid w:val="007E474E"/>
    <w:rsid w:val="007E6A4D"/>
    <w:rsid w:val="007F008A"/>
    <w:rsid w:val="007F0925"/>
    <w:rsid w:val="007F11AB"/>
    <w:rsid w:val="007F15E9"/>
    <w:rsid w:val="007F1A58"/>
    <w:rsid w:val="007F6544"/>
    <w:rsid w:val="0080204B"/>
    <w:rsid w:val="00803A00"/>
    <w:rsid w:val="00803DAB"/>
    <w:rsid w:val="00803FDC"/>
    <w:rsid w:val="008052DD"/>
    <w:rsid w:val="00807A26"/>
    <w:rsid w:val="008112C3"/>
    <w:rsid w:val="00811D26"/>
    <w:rsid w:val="00812D28"/>
    <w:rsid w:val="00814772"/>
    <w:rsid w:val="008147A5"/>
    <w:rsid w:val="008148B9"/>
    <w:rsid w:val="00814DD7"/>
    <w:rsid w:val="00821055"/>
    <w:rsid w:val="008222C2"/>
    <w:rsid w:val="008224F7"/>
    <w:rsid w:val="0082283F"/>
    <w:rsid w:val="00823A8B"/>
    <w:rsid w:val="00824D50"/>
    <w:rsid w:val="00826B03"/>
    <w:rsid w:val="00826F23"/>
    <w:rsid w:val="0082755D"/>
    <w:rsid w:val="00830077"/>
    <w:rsid w:val="00830139"/>
    <w:rsid w:val="0083034C"/>
    <w:rsid w:val="0083444B"/>
    <w:rsid w:val="00835060"/>
    <w:rsid w:val="00837EE0"/>
    <w:rsid w:val="008412F2"/>
    <w:rsid w:val="00841B0E"/>
    <w:rsid w:val="008426C7"/>
    <w:rsid w:val="0084537C"/>
    <w:rsid w:val="00846426"/>
    <w:rsid w:val="00847E20"/>
    <w:rsid w:val="00850445"/>
    <w:rsid w:val="00850B23"/>
    <w:rsid w:val="008517BD"/>
    <w:rsid w:val="00853DCA"/>
    <w:rsid w:val="00855F27"/>
    <w:rsid w:val="008560EF"/>
    <w:rsid w:val="00857697"/>
    <w:rsid w:val="00857D29"/>
    <w:rsid w:val="00860057"/>
    <w:rsid w:val="00861931"/>
    <w:rsid w:val="00864CA8"/>
    <w:rsid w:val="008656BB"/>
    <w:rsid w:val="00865E32"/>
    <w:rsid w:val="00870F7C"/>
    <w:rsid w:val="00872A82"/>
    <w:rsid w:val="0087386B"/>
    <w:rsid w:val="0087434A"/>
    <w:rsid w:val="0087533B"/>
    <w:rsid w:val="00875DD8"/>
    <w:rsid w:val="00880523"/>
    <w:rsid w:val="00880879"/>
    <w:rsid w:val="00881897"/>
    <w:rsid w:val="008824C0"/>
    <w:rsid w:val="00883157"/>
    <w:rsid w:val="0088385D"/>
    <w:rsid w:val="00884597"/>
    <w:rsid w:val="0088545D"/>
    <w:rsid w:val="00885890"/>
    <w:rsid w:val="00891907"/>
    <w:rsid w:val="00892C8B"/>
    <w:rsid w:val="008941EC"/>
    <w:rsid w:val="00894DCB"/>
    <w:rsid w:val="00895B7E"/>
    <w:rsid w:val="00895EEA"/>
    <w:rsid w:val="00896337"/>
    <w:rsid w:val="00897C16"/>
    <w:rsid w:val="008A1552"/>
    <w:rsid w:val="008A1855"/>
    <w:rsid w:val="008A41B9"/>
    <w:rsid w:val="008A5D51"/>
    <w:rsid w:val="008A66DF"/>
    <w:rsid w:val="008A7F87"/>
    <w:rsid w:val="008B02AB"/>
    <w:rsid w:val="008B2A00"/>
    <w:rsid w:val="008B3BE9"/>
    <w:rsid w:val="008B4D78"/>
    <w:rsid w:val="008B5423"/>
    <w:rsid w:val="008B55B4"/>
    <w:rsid w:val="008B728B"/>
    <w:rsid w:val="008C05F5"/>
    <w:rsid w:val="008C0ED9"/>
    <w:rsid w:val="008C1CC9"/>
    <w:rsid w:val="008C2118"/>
    <w:rsid w:val="008C25DC"/>
    <w:rsid w:val="008C3051"/>
    <w:rsid w:val="008C593D"/>
    <w:rsid w:val="008C5A8B"/>
    <w:rsid w:val="008C5D21"/>
    <w:rsid w:val="008C600D"/>
    <w:rsid w:val="008C6598"/>
    <w:rsid w:val="008C65AC"/>
    <w:rsid w:val="008C7738"/>
    <w:rsid w:val="008C7765"/>
    <w:rsid w:val="008D0887"/>
    <w:rsid w:val="008D1BA4"/>
    <w:rsid w:val="008D27C3"/>
    <w:rsid w:val="008D2F94"/>
    <w:rsid w:val="008D43C1"/>
    <w:rsid w:val="008D5267"/>
    <w:rsid w:val="008D5528"/>
    <w:rsid w:val="008D72D7"/>
    <w:rsid w:val="008D7902"/>
    <w:rsid w:val="008D7A1C"/>
    <w:rsid w:val="008D7CE1"/>
    <w:rsid w:val="008E02D5"/>
    <w:rsid w:val="008E157E"/>
    <w:rsid w:val="008E1A31"/>
    <w:rsid w:val="008E1DA4"/>
    <w:rsid w:val="008E2907"/>
    <w:rsid w:val="008E2EB5"/>
    <w:rsid w:val="008E396B"/>
    <w:rsid w:val="008E54A5"/>
    <w:rsid w:val="008E59BF"/>
    <w:rsid w:val="008E5DA6"/>
    <w:rsid w:val="008E7FC2"/>
    <w:rsid w:val="008F0427"/>
    <w:rsid w:val="008F06F9"/>
    <w:rsid w:val="008F0741"/>
    <w:rsid w:val="008F2652"/>
    <w:rsid w:val="008F2D89"/>
    <w:rsid w:val="008F48F2"/>
    <w:rsid w:val="008F66E8"/>
    <w:rsid w:val="00902157"/>
    <w:rsid w:val="00904E1B"/>
    <w:rsid w:val="00905BC7"/>
    <w:rsid w:val="009062AE"/>
    <w:rsid w:val="00906C67"/>
    <w:rsid w:val="00906EEE"/>
    <w:rsid w:val="00906FF7"/>
    <w:rsid w:val="00910990"/>
    <w:rsid w:val="00911F22"/>
    <w:rsid w:val="00915520"/>
    <w:rsid w:val="00915820"/>
    <w:rsid w:val="00915F4D"/>
    <w:rsid w:val="00916C88"/>
    <w:rsid w:val="009175FB"/>
    <w:rsid w:val="009176E1"/>
    <w:rsid w:val="0092241D"/>
    <w:rsid w:val="00922C15"/>
    <w:rsid w:val="00922D84"/>
    <w:rsid w:val="00922DB2"/>
    <w:rsid w:val="00923130"/>
    <w:rsid w:val="009240A1"/>
    <w:rsid w:val="009242F6"/>
    <w:rsid w:val="00924E23"/>
    <w:rsid w:val="0092592C"/>
    <w:rsid w:val="009265C2"/>
    <w:rsid w:val="0092685D"/>
    <w:rsid w:val="009272D5"/>
    <w:rsid w:val="009273DE"/>
    <w:rsid w:val="00927598"/>
    <w:rsid w:val="00927893"/>
    <w:rsid w:val="00930958"/>
    <w:rsid w:val="00931BB4"/>
    <w:rsid w:val="009341FF"/>
    <w:rsid w:val="009357F6"/>
    <w:rsid w:val="009360A9"/>
    <w:rsid w:val="009364B8"/>
    <w:rsid w:val="009377D5"/>
    <w:rsid w:val="00940E88"/>
    <w:rsid w:val="009410D1"/>
    <w:rsid w:val="009417CA"/>
    <w:rsid w:val="00941850"/>
    <w:rsid w:val="00941971"/>
    <w:rsid w:val="00943C80"/>
    <w:rsid w:val="00944B4B"/>
    <w:rsid w:val="009502F7"/>
    <w:rsid w:val="00951435"/>
    <w:rsid w:val="00953AEE"/>
    <w:rsid w:val="00953EDD"/>
    <w:rsid w:val="009577C7"/>
    <w:rsid w:val="009608FE"/>
    <w:rsid w:val="00961B0D"/>
    <w:rsid w:val="00963879"/>
    <w:rsid w:val="00964E86"/>
    <w:rsid w:val="00966877"/>
    <w:rsid w:val="009711EE"/>
    <w:rsid w:val="009729C2"/>
    <w:rsid w:val="00973CF0"/>
    <w:rsid w:val="00974427"/>
    <w:rsid w:val="0097590F"/>
    <w:rsid w:val="00975BEB"/>
    <w:rsid w:val="00975C61"/>
    <w:rsid w:val="00982483"/>
    <w:rsid w:val="0098262A"/>
    <w:rsid w:val="00982A24"/>
    <w:rsid w:val="00982A88"/>
    <w:rsid w:val="0098330C"/>
    <w:rsid w:val="009840A7"/>
    <w:rsid w:val="00986E0C"/>
    <w:rsid w:val="009872CC"/>
    <w:rsid w:val="00987424"/>
    <w:rsid w:val="00990B85"/>
    <w:rsid w:val="00990F83"/>
    <w:rsid w:val="009929BF"/>
    <w:rsid w:val="009A0B7C"/>
    <w:rsid w:val="009A0D5C"/>
    <w:rsid w:val="009A4717"/>
    <w:rsid w:val="009A7577"/>
    <w:rsid w:val="009B08A9"/>
    <w:rsid w:val="009B0AC2"/>
    <w:rsid w:val="009B3039"/>
    <w:rsid w:val="009B3827"/>
    <w:rsid w:val="009B403B"/>
    <w:rsid w:val="009B4498"/>
    <w:rsid w:val="009B5A07"/>
    <w:rsid w:val="009B7CC7"/>
    <w:rsid w:val="009C01E2"/>
    <w:rsid w:val="009C0935"/>
    <w:rsid w:val="009C0C6D"/>
    <w:rsid w:val="009C2669"/>
    <w:rsid w:val="009C4100"/>
    <w:rsid w:val="009C58FC"/>
    <w:rsid w:val="009C6BDE"/>
    <w:rsid w:val="009C6F48"/>
    <w:rsid w:val="009D105C"/>
    <w:rsid w:val="009D1E67"/>
    <w:rsid w:val="009D2077"/>
    <w:rsid w:val="009D4868"/>
    <w:rsid w:val="009D48A4"/>
    <w:rsid w:val="009D4A57"/>
    <w:rsid w:val="009D55F6"/>
    <w:rsid w:val="009D6688"/>
    <w:rsid w:val="009E0428"/>
    <w:rsid w:val="009E0484"/>
    <w:rsid w:val="009E21D8"/>
    <w:rsid w:val="009E4123"/>
    <w:rsid w:val="009E4298"/>
    <w:rsid w:val="009E56FA"/>
    <w:rsid w:val="009E68C6"/>
    <w:rsid w:val="009E6E70"/>
    <w:rsid w:val="009E7770"/>
    <w:rsid w:val="009F0D2D"/>
    <w:rsid w:val="009F11A8"/>
    <w:rsid w:val="009F1B26"/>
    <w:rsid w:val="009F2499"/>
    <w:rsid w:val="009F4F42"/>
    <w:rsid w:val="009F6C51"/>
    <w:rsid w:val="009F6CEF"/>
    <w:rsid w:val="009F7176"/>
    <w:rsid w:val="00A004D9"/>
    <w:rsid w:val="00A01815"/>
    <w:rsid w:val="00A03613"/>
    <w:rsid w:val="00A0382C"/>
    <w:rsid w:val="00A0463F"/>
    <w:rsid w:val="00A05169"/>
    <w:rsid w:val="00A05B83"/>
    <w:rsid w:val="00A06012"/>
    <w:rsid w:val="00A06764"/>
    <w:rsid w:val="00A0710A"/>
    <w:rsid w:val="00A07591"/>
    <w:rsid w:val="00A078F2"/>
    <w:rsid w:val="00A10669"/>
    <w:rsid w:val="00A10B69"/>
    <w:rsid w:val="00A13326"/>
    <w:rsid w:val="00A14372"/>
    <w:rsid w:val="00A1734F"/>
    <w:rsid w:val="00A207A7"/>
    <w:rsid w:val="00A20FD6"/>
    <w:rsid w:val="00A228BA"/>
    <w:rsid w:val="00A22BAD"/>
    <w:rsid w:val="00A234E5"/>
    <w:rsid w:val="00A25CC3"/>
    <w:rsid w:val="00A25D17"/>
    <w:rsid w:val="00A261BC"/>
    <w:rsid w:val="00A2739B"/>
    <w:rsid w:val="00A300D0"/>
    <w:rsid w:val="00A3030B"/>
    <w:rsid w:val="00A303E0"/>
    <w:rsid w:val="00A30E6F"/>
    <w:rsid w:val="00A310A7"/>
    <w:rsid w:val="00A340B4"/>
    <w:rsid w:val="00A35BB3"/>
    <w:rsid w:val="00A36FEE"/>
    <w:rsid w:val="00A37652"/>
    <w:rsid w:val="00A40634"/>
    <w:rsid w:val="00A407E6"/>
    <w:rsid w:val="00A41114"/>
    <w:rsid w:val="00A41791"/>
    <w:rsid w:val="00A42586"/>
    <w:rsid w:val="00A4277D"/>
    <w:rsid w:val="00A432EE"/>
    <w:rsid w:val="00A444CB"/>
    <w:rsid w:val="00A4612A"/>
    <w:rsid w:val="00A47A3C"/>
    <w:rsid w:val="00A50881"/>
    <w:rsid w:val="00A51640"/>
    <w:rsid w:val="00A51E46"/>
    <w:rsid w:val="00A52EFE"/>
    <w:rsid w:val="00A5321E"/>
    <w:rsid w:val="00A53BFD"/>
    <w:rsid w:val="00A55A7C"/>
    <w:rsid w:val="00A56404"/>
    <w:rsid w:val="00A567B9"/>
    <w:rsid w:val="00A56807"/>
    <w:rsid w:val="00A56B71"/>
    <w:rsid w:val="00A6312F"/>
    <w:rsid w:val="00A6314F"/>
    <w:rsid w:val="00A63A24"/>
    <w:rsid w:val="00A64B38"/>
    <w:rsid w:val="00A6549A"/>
    <w:rsid w:val="00A666A4"/>
    <w:rsid w:val="00A7032D"/>
    <w:rsid w:val="00A7152D"/>
    <w:rsid w:val="00A715E0"/>
    <w:rsid w:val="00A71830"/>
    <w:rsid w:val="00A72884"/>
    <w:rsid w:val="00A748A1"/>
    <w:rsid w:val="00A75497"/>
    <w:rsid w:val="00A775B3"/>
    <w:rsid w:val="00A77783"/>
    <w:rsid w:val="00A8022A"/>
    <w:rsid w:val="00A80C08"/>
    <w:rsid w:val="00A812F1"/>
    <w:rsid w:val="00A83B67"/>
    <w:rsid w:val="00A844BD"/>
    <w:rsid w:val="00A85CC1"/>
    <w:rsid w:val="00A86484"/>
    <w:rsid w:val="00A870DA"/>
    <w:rsid w:val="00A87464"/>
    <w:rsid w:val="00A87640"/>
    <w:rsid w:val="00A9231E"/>
    <w:rsid w:val="00A926CD"/>
    <w:rsid w:val="00A93318"/>
    <w:rsid w:val="00A9391E"/>
    <w:rsid w:val="00A9459B"/>
    <w:rsid w:val="00A956D7"/>
    <w:rsid w:val="00A96F3B"/>
    <w:rsid w:val="00AA0254"/>
    <w:rsid w:val="00AA174F"/>
    <w:rsid w:val="00AA3F64"/>
    <w:rsid w:val="00AA5A58"/>
    <w:rsid w:val="00AA5F45"/>
    <w:rsid w:val="00AA64AE"/>
    <w:rsid w:val="00AA6993"/>
    <w:rsid w:val="00AA7556"/>
    <w:rsid w:val="00AA7D1B"/>
    <w:rsid w:val="00AB4166"/>
    <w:rsid w:val="00AB43B8"/>
    <w:rsid w:val="00AB5CD4"/>
    <w:rsid w:val="00AC0CA2"/>
    <w:rsid w:val="00AC2185"/>
    <w:rsid w:val="00AC35BA"/>
    <w:rsid w:val="00AC3C1F"/>
    <w:rsid w:val="00AC3C34"/>
    <w:rsid w:val="00AC503C"/>
    <w:rsid w:val="00AC5239"/>
    <w:rsid w:val="00AD0F93"/>
    <w:rsid w:val="00AD11D1"/>
    <w:rsid w:val="00AD2386"/>
    <w:rsid w:val="00AD2C5B"/>
    <w:rsid w:val="00AD2D0A"/>
    <w:rsid w:val="00AD30FB"/>
    <w:rsid w:val="00AD48EE"/>
    <w:rsid w:val="00AD5DC2"/>
    <w:rsid w:val="00AD6BCD"/>
    <w:rsid w:val="00AE02D9"/>
    <w:rsid w:val="00AE0DCC"/>
    <w:rsid w:val="00AE201C"/>
    <w:rsid w:val="00AE3DE9"/>
    <w:rsid w:val="00AE5629"/>
    <w:rsid w:val="00AE660A"/>
    <w:rsid w:val="00AE7DF5"/>
    <w:rsid w:val="00AF1AD5"/>
    <w:rsid w:val="00AF2555"/>
    <w:rsid w:val="00AF3559"/>
    <w:rsid w:val="00AF3A64"/>
    <w:rsid w:val="00AF3AFE"/>
    <w:rsid w:val="00AF3D0D"/>
    <w:rsid w:val="00AF3E01"/>
    <w:rsid w:val="00AF68B5"/>
    <w:rsid w:val="00AF715E"/>
    <w:rsid w:val="00AF7548"/>
    <w:rsid w:val="00B0052A"/>
    <w:rsid w:val="00B00A0C"/>
    <w:rsid w:val="00B011F3"/>
    <w:rsid w:val="00B03784"/>
    <w:rsid w:val="00B03828"/>
    <w:rsid w:val="00B038EF"/>
    <w:rsid w:val="00B05B92"/>
    <w:rsid w:val="00B0613A"/>
    <w:rsid w:val="00B06D36"/>
    <w:rsid w:val="00B07847"/>
    <w:rsid w:val="00B079A9"/>
    <w:rsid w:val="00B1212B"/>
    <w:rsid w:val="00B15125"/>
    <w:rsid w:val="00B153C1"/>
    <w:rsid w:val="00B16027"/>
    <w:rsid w:val="00B16CA2"/>
    <w:rsid w:val="00B201EF"/>
    <w:rsid w:val="00B20EAB"/>
    <w:rsid w:val="00B2134B"/>
    <w:rsid w:val="00B239AA"/>
    <w:rsid w:val="00B25345"/>
    <w:rsid w:val="00B2565B"/>
    <w:rsid w:val="00B25796"/>
    <w:rsid w:val="00B306B2"/>
    <w:rsid w:val="00B32FC5"/>
    <w:rsid w:val="00B33199"/>
    <w:rsid w:val="00B331B3"/>
    <w:rsid w:val="00B346DA"/>
    <w:rsid w:val="00B366A0"/>
    <w:rsid w:val="00B3708D"/>
    <w:rsid w:val="00B3708F"/>
    <w:rsid w:val="00B4064D"/>
    <w:rsid w:val="00B406C2"/>
    <w:rsid w:val="00B41255"/>
    <w:rsid w:val="00B41723"/>
    <w:rsid w:val="00B4301C"/>
    <w:rsid w:val="00B44307"/>
    <w:rsid w:val="00B44BD8"/>
    <w:rsid w:val="00B5103E"/>
    <w:rsid w:val="00B5201C"/>
    <w:rsid w:val="00B5226D"/>
    <w:rsid w:val="00B5258A"/>
    <w:rsid w:val="00B54B05"/>
    <w:rsid w:val="00B555DC"/>
    <w:rsid w:val="00B55EEB"/>
    <w:rsid w:val="00B5628B"/>
    <w:rsid w:val="00B56E86"/>
    <w:rsid w:val="00B627C0"/>
    <w:rsid w:val="00B640D7"/>
    <w:rsid w:val="00B716DE"/>
    <w:rsid w:val="00B724A7"/>
    <w:rsid w:val="00B72B86"/>
    <w:rsid w:val="00B72CA8"/>
    <w:rsid w:val="00B72F47"/>
    <w:rsid w:val="00B73145"/>
    <w:rsid w:val="00B768B8"/>
    <w:rsid w:val="00B77805"/>
    <w:rsid w:val="00B80196"/>
    <w:rsid w:val="00B8061C"/>
    <w:rsid w:val="00B81624"/>
    <w:rsid w:val="00B8248E"/>
    <w:rsid w:val="00B874F7"/>
    <w:rsid w:val="00B87C08"/>
    <w:rsid w:val="00B90C5D"/>
    <w:rsid w:val="00B90F71"/>
    <w:rsid w:val="00B928D3"/>
    <w:rsid w:val="00B94651"/>
    <w:rsid w:val="00B961F9"/>
    <w:rsid w:val="00B96C6D"/>
    <w:rsid w:val="00B96D40"/>
    <w:rsid w:val="00BA003D"/>
    <w:rsid w:val="00BA0BAF"/>
    <w:rsid w:val="00BA15E2"/>
    <w:rsid w:val="00BA20D9"/>
    <w:rsid w:val="00BA2189"/>
    <w:rsid w:val="00BA6496"/>
    <w:rsid w:val="00BA6520"/>
    <w:rsid w:val="00BA68B0"/>
    <w:rsid w:val="00BA6D6B"/>
    <w:rsid w:val="00BA7642"/>
    <w:rsid w:val="00BB0AAE"/>
    <w:rsid w:val="00BB5A60"/>
    <w:rsid w:val="00BB5AAB"/>
    <w:rsid w:val="00BB669A"/>
    <w:rsid w:val="00BB6819"/>
    <w:rsid w:val="00BB6BE6"/>
    <w:rsid w:val="00BC0B9D"/>
    <w:rsid w:val="00BC1338"/>
    <w:rsid w:val="00BC26D5"/>
    <w:rsid w:val="00BC42BE"/>
    <w:rsid w:val="00BC5800"/>
    <w:rsid w:val="00BC7AAB"/>
    <w:rsid w:val="00BD0675"/>
    <w:rsid w:val="00BD1B01"/>
    <w:rsid w:val="00BD1C83"/>
    <w:rsid w:val="00BD52F8"/>
    <w:rsid w:val="00BD7748"/>
    <w:rsid w:val="00BE0359"/>
    <w:rsid w:val="00BE0554"/>
    <w:rsid w:val="00BE090E"/>
    <w:rsid w:val="00BE0EA7"/>
    <w:rsid w:val="00BE29A0"/>
    <w:rsid w:val="00BE4475"/>
    <w:rsid w:val="00BE5BA0"/>
    <w:rsid w:val="00BE691F"/>
    <w:rsid w:val="00BE724C"/>
    <w:rsid w:val="00BF0230"/>
    <w:rsid w:val="00BF1197"/>
    <w:rsid w:val="00BF1A06"/>
    <w:rsid w:val="00BF3A03"/>
    <w:rsid w:val="00BF3A37"/>
    <w:rsid w:val="00BF4129"/>
    <w:rsid w:val="00BF4E6F"/>
    <w:rsid w:val="00BF764B"/>
    <w:rsid w:val="00BF77B4"/>
    <w:rsid w:val="00C0086E"/>
    <w:rsid w:val="00C00B06"/>
    <w:rsid w:val="00C00CE7"/>
    <w:rsid w:val="00C0157E"/>
    <w:rsid w:val="00C034FC"/>
    <w:rsid w:val="00C03F96"/>
    <w:rsid w:val="00C049C8"/>
    <w:rsid w:val="00C0534E"/>
    <w:rsid w:val="00C05A86"/>
    <w:rsid w:val="00C06BC0"/>
    <w:rsid w:val="00C115B6"/>
    <w:rsid w:val="00C1252E"/>
    <w:rsid w:val="00C147BD"/>
    <w:rsid w:val="00C1686D"/>
    <w:rsid w:val="00C172A3"/>
    <w:rsid w:val="00C2013A"/>
    <w:rsid w:val="00C22008"/>
    <w:rsid w:val="00C22686"/>
    <w:rsid w:val="00C23CA0"/>
    <w:rsid w:val="00C24115"/>
    <w:rsid w:val="00C26F4E"/>
    <w:rsid w:val="00C30A7E"/>
    <w:rsid w:val="00C3467C"/>
    <w:rsid w:val="00C354A3"/>
    <w:rsid w:val="00C35638"/>
    <w:rsid w:val="00C3717B"/>
    <w:rsid w:val="00C44C79"/>
    <w:rsid w:val="00C454E0"/>
    <w:rsid w:val="00C45A04"/>
    <w:rsid w:val="00C46B02"/>
    <w:rsid w:val="00C47C98"/>
    <w:rsid w:val="00C53277"/>
    <w:rsid w:val="00C53430"/>
    <w:rsid w:val="00C56DBE"/>
    <w:rsid w:val="00C57194"/>
    <w:rsid w:val="00C6176A"/>
    <w:rsid w:val="00C61D96"/>
    <w:rsid w:val="00C63370"/>
    <w:rsid w:val="00C65FCA"/>
    <w:rsid w:val="00C678FD"/>
    <w:rsid w:val="00C72487"/>
    <w:rsid w:val="00C75996"/>
    <w:rsid w:val="00C75F9F"/>
    <w:rsid w:val="00C77129"/>
    <w:rsid w:val="00C774C5"/>
    <w:rsid w:val="00C779E3"/>
    <w:rsid w:val="00C808C3"/>
    <w:rsid w:val="00C808CE"/>
    <w:rsid w:val="00C8222A"/>
    <w:rsid w:val="00C8256E"/>
    <w:rsid w:val="00C83833"/>
    <w:rsid w:val="00C9000A"/>
    <w:rsid w:val="00C90CC1"/>
    <w:rsid w:val="00C90FB8"/>
    <w:rsid w:val="00C91220"/>
    <w:rsid w:val="00C91BD2"/>
    <w:rsid w:val="00C928B3"/>
    <w:rsid w:val="00C92B9E"/>
    <w:rsid w:val="00C93034"/>
    <w:rsid w:val="00C93441"/>
    <w:rsid w:val="00C94289"/>
    <w:rsid w:val="00C94C8F"/>
    <w:rsid w:val="00C95182"/>
    <w:rsid w:val="00C9555D"/>
    <w:rsid w:val="00C966F6"/>
    <w:rsid w:val="00C97244"/>
    <w:rsid w:val="00CA1215"/>
    <w:rsid w:val="00CA257C"/>
    <w:rsid w:val="00CA28FA"/>
    <w:rsid w:val="00CA38A9"/>
    <w:rsid w:val="00CA45EE"/>
    <w:rsid w:val="00CA53AE"/>
    <w:rsid w:val="00CA5FB0"/>
    <w:rsid w:val="00CB0788"/>
    <w:rsid w:val="00CB20F7"/>
    <w:rsid w:val="00CB2620"/>
    <w:rsid w:val="00CB35BD"/>
    <w:rsid w:val="00CB5046"/>
    <w:rsid w:val="00CB5471"/>
    <w:rsid w:val="00CB74ED"/>
    <w:rsid w:val="00CC082F"/>
    <w:rsid w:val="00CC1A7E"/>
    <w:rsid w:val="00CC21DA"/>
    <w:rsid w:val="00CC297E"/>
    <w:rsid w:val="00CC3C9E"/>
    <w:rsid w:val="00CC427C"/>
    <w:rsid w:val="00CC533C"/>
    <w:rsid w:val="00CC5E16"/>
    <w:rsid w:val="00CC613B"/>
    <w:rsid w:val="00CD242F"/>
    <w:rsid w:val="00CD2F30"/>
    <w:rsid w:val="00CD327B"/>
    <w:rsid w:val="00CD3493"/>
    <w:rsid w:val="00CD4E4D"/>
    <w:rsid w:val="00CD5038"/>
    <w:rsid w:val="00CD78B4"/>
    <w:rsid w:val="00CE28D2"/>
    <w:rsid w:val="00CE2D18"/>
    <w:rsid w:val="00CE4970"/>
    <w:rsid w:val="00CE4E13"/>
    <w:rsid w:val="00CE4F16"/>
    <w:rsid w:val="00CE7E2E"/>
    <w:rsid w:val="00CF105D"/>
    <w:rsid w:val="00CF12E6"/>
    <w:rsid w:val="00CF26D6"/>
    <w:rsid w:val="00CF5399"/>
    <w:rsid w:val="00CF5879"/>
    <w:rsid w:val="00CF5C1D"/>
    <w:rsid w:val="00D032CD"/>
    <w:rsid w:val="00D033A6"/>
    <w:rsid w:val="00D04AEF"/>
    <w:rsid w:val="00D04E17"/>
    <w:rsid w:val="00D0517A"/>
    <w:rsid w:val="00D0786C"/>
    <w:rsid w:val="00D11D65"/>
    <w:rsid w:val="00D1379D"/>
    <w:rsid w:val="00D14243"/>
    <w:rsid w:val="00D1524A"/>
    <w:rsid w:val="00D17336"/>
    <w:rsid w:val="00D2143A"/>
    <w:rsid w:val="00D2199B"/>
    <w:rsid w:val="00D228A6"/>
    <w:rsid w:val="00D237E0"/>
    <w:rsid w:val="00D24425"/>
    <w:rsid w:val="00D24457"/>
    <w:rsid w:val="00D2472F"/>
    <w:rsid w:val="00D26086"/>
    <w:rsid w:val="00D30DB8"/>
    <w:rsid w:val="00D31EC1"/>
    <w:rsid w:val="00D31F1B"/>
    <w:rsid w:val="00D329F0"/>
    <w:rsid w:val="00D32A68"/>
    <w:rsid w:val="00D32AE4"/>
    <w:rsid w:val="00D32BB0"/>
    <w:rsid w:val="00D3418D"/>
    <w:rsid w:val="00D34609"/>
    <w:rsid w:val="00D3483F"/>
    <w:rsid w:val="00D34A12"/>
    <w:rsid w:val="00D359F6"/>
    <w:rsid w:val="00D36F72"/>
    <w:rsid w:val="00D37313"/>
    <w:rsid w:val="00D41B65"/>
    <w:rsid w:val="00D423D9"/>
    <w:rsid w:val="00D42927"/>
    <w:rsid w:val="00D43DA3"/>
    <w:rsid w:val="00D44D1B"/>
    <w:rsid w:val="00D45B7E"/>
    <w:rsid w:val="00D45FA0"/>
    <w:rsid w:val="00D471E1"/>
    <w:rsid w:val="00D47532"/>
    <w:rsid w:val="00D52FD3"/>
    <w:rsid w:val="00D537C4"/>
    <w:rsid w:val="00D54166"/>
    <w:rsid w:val="00D54284"/>
    <w:rsid w:val="00D544D2"/>
    <w:rsid w:val="00D54640"/>
    <w:rsid w:val="00D56850"/>
    <w:rsid w:val="00D60F40"/>
    <w:rsid w:val="00D61196"/>
    <w:rsid w:val="00D61535"/>
    <w:rsid w:val="00D62817"/>
    <w:rsid w:val="00D64B96"/>
    <w:rsid w:val="00D6538D"/>
    <w:rsid w:val="00D6578B"/>
    <w:rsid w:val="00D70AB1"/>
    <w:rsid w:val="00D7184F"/>
    <w:rsid w:val="00D729AC"/>
    <w:rsid w:val="00D73062"/>
    <w:rsid w:val="00D73C6D"/>
    <w:rsid w:val="00D743A7"/>
    <w:rsid w:val="00D80BEF"/>
    <w:rsid w:val="00D86F6E"/>
    <w:rsid w:val="00D872A7"/>
    <w:rsid w:val="00D87A89"/>
    <w:rsid w:val="00D90550"/>
    <w:rsid w:val="00D906CF"/>
    <w:rsid w:val="00D9097E"/>
    <w:rsid w:val="00D92C50"/>
    <w:rsid w:val="00D951FF"/>
    <w:rsid w:val="00D95805"/>
    <w:rsid w:val="00D95DC1"/>
    <w:rsid w:val="00D97D48"/>
    <w:rsid w:val="00DA01BD"/>
    <w:rsid w:val="00DA0395"/>
    <w:rsid w:val="00DA199C"/>
    <w:rsid w:val="00DA53FA"/>
    <w:rsid w:val="00DA60F7"/>
    <w:rsid w:val="00DA7783"/>
    <w:rsid w:val="00DA7A53"/>
    <w:rsid w:val="00DA7AAB"/>
    <w:rsid w:val="00DB09C2"/>
    <w:rsid w:val="00DB2685"/>
    <w:rsid w:val="00DB3CC0"/>
    <w:rsid w:val="00DB3E37"/>
    <w:rsid w:val="00DB498E"/>
    <w:rsid w:val="00DB5A6C"/>
    <w:rsid w:val="00DB7258"/>
    <w:rsid w:val="00DB791E"/>
    <w:rsid w:val="00DB7EE1"/>
    <w:rsid w:val="00DC2084"/>
    <w:rsid w:val="00DC3ABB"/>
    <w:rsid w:val="00DC40EA"/>
    <w:rsid w:val="00DC57BD"/>
    <w:rsid w:val="00DC5860"/>
    <w:rsid w:val="00DC7564"/>
    <w:rsid w:val="00DD170A"/>
    <w:rsid w:val="00DD1942"/>
    <w:rsid w:val="00DD2A5A"/>
    <w:rsid w:val="00DD434F"/>
    <w:rsid w:val="00DD5672"/>
    <w:rsid w:val="00DD743A"/>
    <w:rsid w:val="00DD7A54"/>
    <w:rsid w:val="00DE0CD0"/>
    <w:rsid w:val="00DE240C"/>
    <w:rsid w:val="00DE3039"/>
    <w:rsid w:val="00DE35CC"/>
    <w:rsid w:val="00DE46DD"/>
    <w:rsid w:val="00DE46E4"/>
    <w:rsid w:val="00DE5DA6"/>
    <w:rsid w:val="00DE609C"/>
    <w:rsid w:val="00DF0C7E"/>
    <w:rsid w:val="00DF124C"/>
    <w:rsid w:val="00DF1842"/>
    <w:rsid w:val="00DF2D30"/>
    <w:rsid w:val="00DF33AB"/>
    <w:rsid w:val="00DF6270"/>
    <w:rsid w:val="00DF6DE6"/>
    <w:rsid w:val="00E02046"/>
    <w:rsid w:val="00E02A26"/>
    <w:rsid w:val="00E05497"/>
    <w:rsid w:val="00E07984"/>
    <w:rsid w:val="00E07D3C"/>
    <w:rsid w:val="00E10380"/>
    <w:rsid w:val="00E1311F"/>
    <w:rsid w:val="00E1370A"/>
    <w:rsid w:val="00E13CAB"/>
    <w:rsid w:val="00E15448"/>
    <w:rsid w:val="00E1576D"/>
    <w:rsid w:val="00E15CA8"/>
    <w:rsid w:val="00E17EC1"/>
    <w:rsid w:val="00E20B2F"/>
    <w:rsid w:val="00E20BE5"/>
    <w:rsid w:val="00E2211A"/>
    <w:rsid w:val="00E24964"/>
    <w:rsid w:val="00E2531B"/>
    <w:rsid w:val="00E26554"/>
    <w:rsid w:val="00E26BA4"/>
    <w:rsid w:val="00E303CD"/>
    <w:rsid w:val="00E30B38"/>
    <w:rsid w:val="00E31195"/>
    <w:rsid w:val="00E33191"/>
    <w:rsid w:val="00E333B6"/>
    <w:rsid w:val="00E36E16"/>
    <w:rsid w:val="00E42159"/>
    <w:rsid w:val="00E43A6F"/>
    <w:rsid w:val="00E442BA"/>
    <w:rsid w:val="00E44569"/>
    <w:rsid w:val="00E45751"/>
    <w:rsid w:val="00E4637C"/>
    <w:rsid w:val="00E47609"/>
    <w:rsid w:val="00E47ACA"/>
    <w:rsid w:val="00E512FA"/>
    <w:rsid w:val="00E5215D"/>
    <w:rsid w:val="00E54DCC"/>
    <w:rsid w:val="00E568C0"/>
    <w:rsid w:val="00E572E8"/>
    <w:rsid w:val="00E614CA"/>
    <w:rsid w:val="00E61634"/>
    <w:rsid w:val="00E62257"/>
    <w:rsid w:val="00E632D9"/>
    <w:rsid w:val="00E66C3A"/>
    <w:rsid w:val="00E7041D"/>
    <w:rsid w:val="00E7168A"/>
    <w:rsid w:val="00E727A1"/>
    <w:rsid w:val="00E736A5"/>
    <w:rsid w:val="00E74F08"/>
    <w:rsid w:val="00E75E27"/>
    <w:rsid w:val="00E77D51"/>
    <w:rsid w:val="00E81D23"/>
    <w:rsid w:val="00E82FFC"/>
    <w:rsid w:val="00E838E5"/>
    <w:rsid w:val="00E83DF3"/>
    <w:rsid w:val="00E845B5"/>
    <w:rsid w:val="00E855A1"/>
    <w:rsid w:val="00E85A87"/>
    <w:rsid w:val="00E864B8"/>
    <w:rsid w:val="00E8745D"/>
    <w:rsid w:val="00E87C71"/>
    <w:rsid w:val="00E87D11"/>
    <w:rsid w:val="00E910B4"/>
    <w:rsid w:val="00E91D42"/>
    <w:rsid w:val="00E92AD3"/>
    <w:rsid w:val="00E937D3"/>
    <w:rsid w:val="00E939B3"/>
    <w:rsid w:val="00E94108"/>
    <w:rsid w:val="00E94214"/>
    <w:rsid w:val="00E9480C"/>
    <w:rsid w:val="00E94DF3"/>
    <w:rsid w:val="00E95C2A"/>
    <w:rsid w:val="00E967BE"/>
    <w:rsid w:val="00E97BC9"/>
    <w:rsid w:val="00EA19BA"/>
    <w:rsid w:val="00EA3816"/>
    <w:rsid w:val="00EA3B91"/>
    <w:rsid w:val="00EA4048"/>
    <w:rsid w:val="00EA4906"/>
    <w:rsid w:val="00EA49A3"/>
    <w:rsid w:val="00EA5876"/>
    <w:rsid w:val="00EA6AFB"/>
    <w:rsid w:val="00EA71C9"/>
    <w:rsid w:val="00EA7DE7"/>
    <w:rsid w:val="00EB0519"/>
    <w:rsid w:val="00EB0980"/>
    <w:rsid w:val="00EB0C21"/>
    <w:rsid w:val="00EB1108"/>
    <w:rsid w:val="00EB1403"/>
    <w:rsid w:val="00EB2018"/>
    <w:rsid w:val="00EB21A5"/>
    <w:rsid w:val="00EB26EB"/>
    <w:rsid w:val="00EB3E9F"/>
    <w:rsid w:val="00EB44E8"/>
    <w:rsid w:val="00EB4F46"/>
    <w:rsid w:val="00EB50CC"/>
    <w:rsid w:val="00EB6252"/>
    <w:rsid w:val="00EC02FC"/>
    <w:rsid w:val="00EC031B"/>
    <w:rsid w:val="00EC06C7"/>
    <w:rsid w:val="00EC0DB9"/>
    <w:rsid w:val="00EC1266"/>
    <w:rsid w:val="00EC1E1F"/>
    <w:rsid w:val="00EC2950"/>
    <w:rsid w:val="00EC6E3C"/>
    <w:rsid w:val="00ED3B7C"/>
    <w:rsid w:val="00ED4F4B"/>
    <w:rsid w:val="00ED513A"/>
    <w:rsid w:val="00ED71D0"/>
    <w:rsid w:val="00ED737B"/>
    <w:rsid w:val="00ED7998"/>
    <w:rsid w:val="00EE0EA9"/>
    <w:rsid w:val="00EE1935"/>
    <w:rsid w:val="00EE24A8"/>
    <w:rsid w:val="00EE3C50"/>
    <w:rsid w:val="00EE5233"/>
    <w:rsid w:val="00EE6B85"/>
    <w:rsid w:val="00EE715F"/>
    <w:rsid w:val="00EE7235"/>
    <w:rsid w:val="00EE73A3"/>
    <w:rsid w:val="00EF01C5"/>
    <w:rsid w:val="00EF1474"/>
    <w:rsid w:val="00EF1A16"/>
    <w:rsid w:val="00EF1FB4"/>
    <w:rsid w:val="00EF2446"/>
    <w:rsid w:val="00EF388A"/>
    <w:rsid w:val="00EF4BF1"/>
    <w:rsid w:val="00EF5151"/>
    <w:rsid w:val="00EF588F"/>
    <w:rsid w:val="00F011B1"/>
    <w:rsid w:val="00F01B67"/>
    <w:rsid w:val="00F02FDF"/>
    <w:rsid w:val="00F052CD"/>
    <w:rsid w:val="00F05B6B"/>
    <w:rsid w:val="00F063F5"/>
    <w:rsid w:val="00F06B26"/>
    <w:rsid w:val="00F0780E"/>
    <w:rsid w:val="00F07EB9"/>
    <w:rsid w:val="00F11404"/>
    <w:rsid w:val="00F12834"/>
    <w:rsid w:val="00F13431"/>
    <w:rsid w:val="00F13E80"/>
    <w:rsid w:val="00F14F83"/>
    <w:rsid w:val="00F1567A"/>
    <w:rsid w:val="00F15960"/>
    <w:rsid w:val="00F15A4B"/>
    <w:rsid w:val="00F15E27"/>
    <w:rsid w:val="00F17150"/>
    <w:rsid w:val="00F20C44"/>
    <w:rsid w:val="00F2309D"/>
    <w:rsid w:val="00F23128"/>
    <w:rsid w:val="00F23133"/>
    <w:rsid w:val="00F23E52"/>
    <w:rsid w:val="00F24BB8"/>
    <w:rsid w:val="00F24C17"/>
    <w:rsid w:val="00F259F4"/>
    <w:rsid w:val="00F27D2C"/>
    <w:rsid w:val="00F3017E"/>
    <w:rsid w:val="00F3041B"/>
    <w:rsid w:val="00F32202"/>
    <w:rsid w:val="00F32275"/>
    <w:rsid w:val="00F3255F"/>
    <w:rsid w:val="00F32F49"/>
    <w:rsid w:val="00F34CF2"/>
    <w:rsid w:val="00F354D1"/>
    <w:rsid w:val="00F35800"/>
    <w:rsid w:val="00F36E9F"/>
    <w:rsid w:val="00F37061"/>
    <w:rsid w:val="00F377A9"/>
    <w:rsid w:val="00F37A1B"/>
    <w:rsid w:val="00F412DE"/>
    <w:rsid w:val="00F41981"/>
    <w:rsid w:val="00F41ADE"/>
    <w:rsid w:val="00F42367"/>
    <w:rsid w:val="00F4729B"/>
    <w:rsid w:val="00F47ADC"/>
    <w:rsid w:val="00F50CF2"/>
    <w:rsid w:val="00F512F2"/>
    <w:rsid w:val="00F51A0C"/>
    <w:rsid w:val="00F5220F"/>
    <w:rsid w:val="00F52322"/>
    <w:rsid w:val="00F56C54"/>
    <w:rsid w:val="00F56DB4"/>
    <w:rsid w:val="00F571B7"/>
    <w:rsid w:val="00F60093"/>
    <w:rsid w:val="00F60D6F"/>
    <w:rsid w:val="00F617A3"/>
    <w:rsid w:val="00F61C42"/>
    <w:rsid w:val="00F62174"/>
    <w:rsid w:val="00F63025"/>
    <w:rsid w:val="00F638E6"/>
    <w:rsid w:val="00F659E1"/>
    <w:rsid w:val="00F66777"/>
    <w:rsid w:val="00F66CF0"/>
    <w:rsid w:val="00F7130D"/>
    <w:rsid w:val="00F731F3"/>
    <w:rsid w:val="00F73602"/>
    <w:rsid w:val="00F73CB8"/>
    <w:rsid w:val="00F753AE"/>
    <w:rsid w:val="00F762FD"/>
    <w:rsid w:val="00F775F3"/>
    <w:rsid w:val="00F7793E"/>
    <w:rsid w:val="00F779A3"/>
    <w:rsid w:val="00F77B76"/>
    <w:rsid w:val="00F80EC3"/>
    <w:rsid w:val="00F81F15"/>
    <w:rsid w:val="00F87114"/>
    <w:rsid w:val="00F87492"/>
    <w:rsid w:val="00F87841"/>
    <w:rsid w:val="00F87DE5"/>
    <w:rsid w:val="00F903B6"/>
    <w:rsid w:val="00F90A94"/>
    <w:rsid w:val="00F91C1F"/>
    <w:rsid w:val="00F9320B"/>
    <w:rsid w:val="00F936BB"/>
    <w:rsid w:val="00F94566"/>
    <w:rsid w:val="00F9518E"/>
    <w:rsid w:val="00F9793E"/>
    <w:rsid w:val="00FA00C8"/>
    <w:rsid w:val="00FA069F"/>
    <w:rsid w:val="00FA2007"/>
    <w:rsid w:val="00FA3AC6"/>
    <w:rsid w:val="00FA43AB"/>
    <w:rsid w:val="00FA5069"/>
    <w:rsid w:val="00FA6308"/>
    <w:rsid w:val="00FB021F"/>
    <w:rsid w:val="00FB0B1D"/>
    <w:rsid w:val="00FB0EBC"/>
    <w:rsid w:val="00FB23A6"/>
    <w:rsid w:val="00FB24CC"/>
    <w:rsid w:val="00FB2F4F"/>
    <w:rsid w:val="00FB3F08"/>
    <w:rsid w:val="00FB58BB"/>
    <w:rsid w:val="00FC137C"/>
    <w:rsid w:val="00FC2744"/>
    <w:rsid w:val="00FC4410"/>
    <w:rsid w:val="00FC46C4"/>
    <w:rsid w:val="00FC515C"/>
    <w:rsid w:val="00FC600E"/>
    <w:rsid w:val="00FD010D"/>
    <w:rsid w:val="00FD0F9D"/>
    <w:rsid w:val="00FD1386"/>
    <w:rsid w:val="00FD1676"/>
    <w:rsid w:val="00FD19F5"/>
    <w:rsid w:val="00FD1C61"/>
    <w:rsid w:val="00FD1F86"/>
    <w:rsid w:val="00FD2780"/>
    <w:rsid w:val="00FD3768"/>
    <w:rsid w:val="00FD4710"/>
    <w:rsid w:val="00FD7E94"/>
    <w:rsid w:val="00FE0288"/>
    <w:rsid w:val="00FE034B"/>
    <w:rsid w:val="00FE1F6B"/>
    <w:rsid w:val="00FE43CC"/>
    <w:rsid w:val="00FE577A"/>
    <w:rsid w:val="00FF2123"/>
    <w:rsid w:val="00FF30EB"/>
    <w:rsid w:val="00FF34B1"/>
    <w:rsid w:val="00FF405B"/>
    <w:rsid w:val="00FF42DA"/>
    <w:rsid w:val="00FF4C2B"/>
    <w:rsid w:val="03256747"/>
    <w:rsid w:val="0462C4CB"/>
    <w:rsid w:val="0553A507"/>
    <w:rsid w:val="0A6B3618"/>
    <w:rsid w:val="1ACB95B8"/>
    <w:rsid w:val="1EB4F423"/>
    <w:rsid w:val="21725FAC"/>
    <w:rsid w:val="29C8109C"/>
    <w:rsid w:val="2A6638B9"/>
    <w:rsid w:val="515DB174"/>
    <w:rsid w:val="525CC059"/>
    <w:rsid w:val="5C84D0D1"/>
    <w:rsid w:val="619D9988"/>
    <w:rsid w:val="793A73B2"/>
    <w:rsid w:val="7BD268BF"/>
    <w:rsid w:val="7BEB94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903F"/>
  <w15:chartTrackingRefBased/>
  <w15:docId w15:val="{D85E31D9-9F41-40DD-B2C7-159A04A4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BB"/>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922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22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2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2D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D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D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D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D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22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2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2D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DB2"/>
    <w:rPr>
      <w:rFonts w:eastAsiaTheme="majorEastAsia" w:cstheme="majorBidi"/>
      <w:color w:val="272727" w:themeColor="text1" w:themeTint="D8"/>
    </w:rPr>
  </w:style>
  <w:style w:type="paragraph" w:styleId="Title">
    <w:name w:val="Title"/>
    <w:basedOn w:val="Normal"/>
    <w:next w:val="Normal"/>
    <w:link w:val="TitleChar"/>
    <w:uiPriority w:val="10"/>
    <w:qFormat/>
    <w:rsid w:val="00922D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DB2"/>
    <w:pPr>
      <w:spacing w:before="160"/>
      <w:jc w:val="center"/>
    </w:pPr>
    <w:rPr>
      <w:i/>
      <w:iCs/>
      <w:color w:val="404040" w:themeColor="text1" w:themeTint="BF"/>
    </w:rPr>
  </w:style>
  <w:style w:type="character" w:customStyle="1" w:styleId="QuoteChar">
    <w:name w:val="Quote Char"/>
    <w:basedOn w:val="DefaultParagraphFont"/>
    <w:link w:val="Quote"/>
    <w:uiPriority w:val="29"/>
    <w:rsid w:val="00922DB2"/>
    <w:rPr>
      <w:i/>
      <w:iCs/>
      <w:color w:val="404040" w:themeColor="text1" w:themeTint="BF"/>
    </w:rPr>
  </w:style>
  <w:style w:type="paragraph" w:styleId="ListParagraph">
    <w:name w:val="List Paragraph"/>
    <w:basedOn w:val="Normal"/>
    <w:uiPriority w:val="34"/>
    <w:qFormat/>
    <w:rsid w:val="00922DB2"/>
    <w:pPr>
      <w:ind w:left="720"/>
      <w:contextualSpacing/>
    </w:pPr>
  </w:style>
  <w:style w:type="character" w:styleId="IntenseEmphasis">
    <w:name w:val="Intense Emphasis"/>
    <w:basedOn w:val="DefaultParagraphFont"/>
    <w:uiPriority w:val="21"/>
    <w:qFormat/>
    <w:rsid w:val="00922DB2"/>
    <w:rPr>
      <w:i/>
      <w:iCs/>
      <w:color w:val="0F4761" w:themeColor="accent1" w:themeShade="BF"/>
    </w:rPr>
  </w:style>
  <w:style w:type="paragraph" w:styleId="IntenseQuote">
    <w:name w:val="Intense Quote"/>
    <w:basedOn w:val="Normal"/>
    <w:next w:val="Normal"/>
    <w:link w:val="IntenseQuoteChar"/>
    <w:uiPriority w:val="30"/>
    <w:qFormat/>
    <w:rsid w:val="00922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DB2"/>
    <w:rPr>
      <w:i/>
      <w:iCs/>
      <w:color w:val="0F4761" w:themeColor="accent1" w:themeShade="BF"/>
    </w:rPr>
  </w:style>
  <w:style w:type="character" w:styleId="IntenseReference">
    <w:name w:val="Intense Reference"/>
    <w:basedOn w:val="DefaultParagraphFont"/>
    <w:uiPriority w:val="32"/>
    <w:qFormat/>
    <w:rsid w:val="00922DB2"/>
    <w:rPr>
      <w:b/>
      <w:bCs/>
      <w:smallCaps/>
      <w:color w:val="0F4761" w:themeColor="accent1" w:themeShade="BF"/>
      <w:spacing w:val="5"/>
    </w:rPr>
  </w:style>
  <w:style w:type="paragraph" w:styleId="FootnoteText">
    <w:name w:val="footnote text"/>
    <w:basedOn w:val="Normal"/>
    <w:link w:val="FootnoteTextChar"/>
    <w:uiPriority w:val="99"/>
    <w:unhideWhenUsed/>
    <w:rsid w:val="00531188"/>
    <w:rPr>
      <w:sz w:val="20"/>
      <w:szCs w:val="20"/>
    </w:rPr>
  </w:style>
  <w:style w:type="character" w:customStyle="1" w:styleId="FootnoteTextChar">
    <w:name w:val="Footnote Text Char"/>
    <w:basedOn w:val="DefaultParagraphFont"/>
    <w:link w:val="FootnoteText"/>
    <w:uiPriority w:val="99"/>
    <w:rsid w:val="00531188"/>
    <w:rPr>
      <w:rFonts w:ascii="Aptos" w:hAnsi="Aptos" w:cs="Aptos"/>
      <w:kern w:val="0"/>
      <w:sz w:val="20"/>
      <w:szCs w:val="20"/>
    </w:rPr>
  </w:style>
  <w:style w:type="character" w:styleId="FootnoteReference">
    <w:name w:val="footnote reference"/>
    <w:basedOn w:val="DefaultParagraphFont"/>
    <w:uiPriority w:val="99"/>
    <w:semiHidden/>
    <w:unhideWhenUsed/>
    <w:rsid w:val="00531188"/>
    <w:rPr>
      <w:vertAlign w:val="superscript"/>
    </w:rPr>
  </w:style>
  <w:style w:type="character" w:styleId="Hyperlink">
    <w:name w:val="Hyperlink"/>
    <w:basedOn w:val="DefaultParagraphFont"/>
    <w:uiPriority w:val="99"/>
    <w:unhideWhenUsed/>
    <w:rsid w:val="00E74F08"/>
    <w:rPr>
      <w:color w:val="467886" w:themeColor="hyperlink"/>
      <w:u w:val="single"/>
    </w:rPr>
  </w:style>
  <w:style w:type="character" w:styleId="UnresolvedMention">
    <w:name w:val="Unresolved Mention"/>
    <w:basedOn w:val="DefaultParagraphFont"/>
    <w:uiPriority w:val="99"/>
    <w:semiHidden/>
    <w:unhideWhenUsed/>
    <w:rsid w:val="00E74F08"/>
    <w:rPr>
      <w:color w:val="605E5C"/>
      <w:shd w:val="clear" w:color="auto" w:fill="E1DFDD"/>
    </w:rPr>
  </w:style>
  <w:style w:type="paragraph" w:styleId="Header">
    <w:name w:val="header"/>
    <w:basedOn w:val="Normal"/>
    <w:link w:val="HeaderChar"/>
    <w:uiPriority w:val="99"/>
    <w:semiHidden/>
    <w:unhideWhenUsed/>
    <w:rsid w:val="006D20FB"/>
    <w:pPr>
      <w:tabs>
        <w:tab w:val="center" w:pos="4513"/>
        <w:tab w:val="right" w:pos="9026"/>
      </w:tabs>
    </w:pPr>
  </w:style>
  <w:style w:type="character" w:customStyle="1" w:styleId="HeaderChar">
    <w:name w:val="Header Char"/>
    <w:basedOn w:val="DefaultParagraphFont"/>
    <w:link w:val="Header"/>
    <w:uiPriority w:val="99"/>
    <w:semiHidden/>
    <w:rsid w:val="006D20FB"/>
    <w:rPr>
      <w:rFonts w:ascii="Aptos" w:hAnsi="Aptos" w:cs="Aptos"/>
      <w:kern w:val="0"/>
      <w:sz w:val="22"/>
      <w:szCs w:val="22"/>
    </w:rPr>
  </w:style>
  <w:style w:type="paragraph" w:styleId="Footer">
    <w:name w:val="footer"/>
    <w:basedOn w:val="Normal"/>
    <w:link w:val="FooterChar"/>
    <w:uiPriority w:val="99"/>
    <w:semiHidden/>
    <w:unhideWhenUsed/>
    <w:rsid w:val="006D20FB"/>
    <w:pPr>
      <w:tabs>
        <w:tab w:val="center" w:pos="4513"/>
        <w:tab w:val="right" w:pos="9026"/>
      </w:tabs>
    </w:pPr>
  </w:style>
  <w:style w:type="character" w:customStyle="1" w:styleId="FooterChar">
    <w:name w:val="Footer Char"/>
    <w:basedOn w:val="DefaultParagraphFont"/>
    <w:link w:val="Footer"/>
    <w:uiPriority w:val="99"/>
    <w:semiHidden/>
    <w:rsid w:val="006D20FB"/>
    <w:rPr>
      <w:rFonts w:ascii="Aptos" w:hAnsi="Aptos" w:cs="Aptos"/>
      <w:kern w:val="0"/>
      <w:sz w:val="22"/>
      <w:szCs w:val="22"/>
    </w:rPr>
  </w:style>
  <w:style w:type="paragraph" w:styleId="NormalWeb">
    <w:name w:val="Normal (Web)"/>
    <w:basedOn w:val="Normal"/>
    <w:uiPriority w:val="99"/>
    <w:semiHidden/>
    <w:unhideWhenUsed/>
    <w:rsid w:val="00B011F3"/>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A6A14"/>
    <w:rPr>
      <w:color w:val="96607D" w:themeColor="followedHyperlink"/>
      <w:u w:val="single"/>
    </w:rPr>
  </w:style>
  <w:style w:type="character" w:styleId="CommentReference">
    <w:name w:val="annotation reference"/>
    <w:basedOn w:val="DefaultParagraphFont"/>
    <w:uiPriority w:val="99"/>
    <w:semiHidden/>
    <w:unhideWhenUsed/>
    <w:rsid w:val="00594DD3"/>
    <w:rPr>
      <w:sz w:val="16"/>
      <w:szCs w:val="16"/>
    </w:rPr>
  </w:style>
  <w:style w:type="paragraph" w:styleId="CommentText">
    <w:name w:val="annotation text"/>
    <w:basedOn w:val="Normal"/>
    <w:link w:val="CommentTextChar"/>
    <w:uiPriority w:val="99"/>
    <w:unhideWhenUsed/>
    <w:rsid w:val="00594DD3"/>
    <w:rPr>
      <w:sz w:val="20"/>
      <w:szCs w:val="20"/>
    </w:rPr>
  </w:style>
  <w:style w:type="character" w:customStyle="1" w:styleId="CommentTextChar">
    <w:name w:val="Comment Text Char"/>
    <w:basedOn w:val="DefaultParagraphFont"/>
    <w:link w:val="CommentText"/>
    <w:uiPriority w:val="99"/>
    <w:rsid w:val="00594DD3"/>
    <w:rPr>
      <w:rFonts w:ascii="Aptos" w:hAnsi="Aptos" w:cs="Aptos"/>
      <w:kern w:val="0"/>
      <w:sz w:val="20"/>
      <w:szCs w:val="20"/>
    </w:rPr>
  </w:style>
  <w:style w:type="paragraph" w:styleId="CommentSubject">
    <w:name w:val="annotation subject"/>
    <w:basedOn w:val="CommentText"/>
    <w:next w:val="CommentText"/>
    <w:link w:val="CommentSubjectChar"/>
    <w:uiPriority w:val="99"/>
    <w:semiHidden/>
    <w:unhideWhenUsed/>
    <w:rsid w:val="00594DD3"/>
    <w:rPr>
      <w:b/>
      <w:bCs/>
    </w:rPr>
  </w:style>
  <w:style w:type="character" w:customStyle="1" w:styleId="CommentSubjectChar">
    <w:name w:val="Comment Subject Char"/>
    <w:basedOn w:val="CommentTextChar"/>
    <w:link w:val="CommentSubject"/>
    <w:uiPriority w:val="99"/>
    <w:semiHidden/>
    <w:rsid w:val="00594DD3"/>
    <w:rPr>
      <w:rFonts w:ascii="Aptos" w:hAnsi="Aptos" w:cs="Aptos"/>
      <w:b/>
      <w:bCs/>
      <w:kern w:val="0"/>
      <w:sz w:val="20"/>
      <w:szCs w:val="20"/>
    </w:rPr>
  </w:style>
  <w:style w:type="paragraph" w:styleId="Revision">
    <w:name w:val="Revision"/>
    <w:hidden/>
    <w:uiPriority w:val="99"/>
    <w:semiHidden/>
    <w:rsid w:val="00012F2D"/>
    <w:pPr>
      <w:spacing w:after="0" w:line="240" w:lineRule="auto"/>
    </w:pPr>
    <w:rPr>
      <w:rFonts w:ascii="Aptos" w:hAnsi="Aptos" w:cs="Apto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6095">
      <w:bodyDiv w:val="1"/>
      <w:marLeft w:val="0"/>
      <w:marRight w:val="0"/>
      <w:marTop w:val="0"/>
      <w:marBottom w:val="0"/>
      <w:divBdr>
        <w:top w:val="none" w:sz="0" w:space="0" w:color="auto"/>
        <w:left w:val="none" w:sz="0" w:space="0" w:color="auto"/>
        <w:bottom w:val="none" w:sz="0" w:space="0" w:color="auto"/>
        <w:right w:val="none" w:sz="0" w:space="0" w:color="auto"/>
      </w:divBdr>
      <w:divsChild>
        <w:div w:id="64495404">
          <w:marLeft w:val="0"/>
          <w:marRight w:val="0"/>
          <w:marTop w:val="0"/>
          <w:marBottom w:val="0"/>
          <w:divBdr>
            <w:top w:val="none" w:sz="0" w:space="0" w:color="auto"/>
            <w:left w:val="none" w:sz="0" w:space="0" w:color="auto"/>
            <w:bottom w:val="none" w:sz="0" w:space="0" w:color="auto"/>
            <w:right w:val="none" w:sz="0" w:space="0" w:color="auto"/>
          </w:divBdr>
          <w:divsChild>
            <w:div w:id="428550097">
              <w:marLeft w:val="0"/>
              <w:marRight w:val="0"/>
              <w:marTop w:val="0"/>
              <w:marBottom w:val="0"/>
              <w:divBdr>
                <w:top w:val="none" w:sz="0" w:space="0" w:color="auto"/>
                <w:left w:val="none" w:sz="0" w:space="0" w:color="auto"/>
                <w:bottom w:val="none" w:sz="0" w:space="0" w:color="auto"/>
                <w:right w:val="none" w:sz="0" w:space="0" w:color="auto"/>
              </w:divBdr>
              <w:divsChild>
                <w:div w:id="21064150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2012901">
          <w:marLeft w:val="0"/>
          <w:marRight w:val="0"/>
          <w:marTop w:val="0"/>
          <w:marBottom w:val="0"/>
          <w:divBdr>
            <w:top w:val="none" w:sz="0" w:space="0" w:color="auto"/>
            <w:left w:val="none" w:sz="0" w:space="0" w:color="auto"/>
            <w:bottom w:val="none" w:sz="0" w:space="0" w:color="auto"/>
            <w:right w:val="none" w:sz="0" w:space="0" w:color="auto"/>
          </w:divBdr>
          <w:divsChild>
            <w:div w:id="936013011">
              <w:marLeft w:val="0"/>
              <w:marRight w:val="0"/>
              <w:marTop w:val="0"/>
              <w:marBottom w:val="0"/>
              <w:divBdr>
                <w:top w:val="none" w:sz="0" w:space="0" w:color="auto"/>
                <w:left w:val="none" w:sz="0" w:space="0" w:color="auto"/>
                <w:bottom w:val="none" w:sz="0" w:space="0" w:color="auto"/>
                <w:right w:val="none" w:sz="0" w:space="0" w:color="auto"/>
              </w:divBdr>
              <w:divsChild>
                <w:div w:id="7585295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70905781">
          <w:marLeft w:val="0"/>
          <w:marRight w:val="0"/>
          <w:marTop w:val="0"/>
          <w:marBottom w:val="0"/>
          <w:divBdr>
            <w:top w:val="none" w:sz="0" w:space="0" w:color="auto"/>
            <w:left w:val="none" w:sz="0" w:space="0" w:color="auto"/>
            <w:bottom w:val="none" w:sz="0" w:space="0" w:color="auto"/>
            <w:right w:val="none" w:sz="0" w:space="0" w:color="auto"/>
          </w:divBdr>
          <w:divsChild>
            <w:div w:id="343022318">
              <w:marLeft w:val="0"/>
              <w:marRight w:val="0"/>
              <w:marTop w:val="0"/>
              <w:marBottom w:val="0"/>
              <w:divBdr>
                <w:top w:val="none" w:sz="0" w:space="0" w:color="auto"/>
                <w:left w:val="none" w:sz="0" w:space="0" w:color="auto"/>
                <w:bottom w:val="none" w:sz="0" w:space="0" w:color="auto"/>
                <w:right w:val="none" w:sz="0" w:space="0" w:color="auto"/>
              </w:divBdr>
            </w:div>
          </w:divsChild>
        </w:div>
        <w:div w:id="1973828392">
          <w:marLeft w:val="0"/>
          <w:marRight w:val="0"/>
          <w:marTop w:val="0"/>
          <w:marBottom w:val="0"/>
          <w:divBdr>
            <w:top w:val="none" w:sz="0" w:space="0" w:color="auto"/>
            <w:left w:val="none" w:sz="0" w:space="0" w:color="auto"/>
            <w:bottom w:val="none" w:sz="0" w:space="0" w:color="auto"/>
            <w:right w:val="none" w:sz="0" w:space="0" w:color="auto"/>
          </w:divBdr>
          <w:divsChild>
            <w:div w:id="869759261">
              <w:marLeft w:val="0"/>
              <w:marRight w:val="0"/>
              <w:marTop w:val="0"/>
              <w:marBottom w:val="0"/>
              <w:divBdr>
                <w:top w:val="none" w:sz="0" w:space="0" w:color="auto"/>
                <w:left w:val="none" w:sz="0" w:space="0" w:color="auto"/>
                <w:bottom w:val="none" w:sz="0" w:space="0" w:color="auto"/>
                <w:right w:val="none" w:sz="0" w:space="0" w:color="auto"/>
              </w:divBdr>
              <w:divsChild>
                <w:div w:id="1808742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68974143">
      <w:bodyDiv w:val="1"/>
      <w:marLeft w:val="0"/>
      <w:marRight w:val="0"/>
      <w:marTop w:val="0"/>
      <w:marBottom w:val="0"/>
      <w:divBdr>
        <w:top w:val="none" w:sz="0" w:space="0" w:color="auto"/>
        <w:left w:val="none" w:sz="0" w:space="0" w:color="auto"/>
        <w:bottom w:val="none" w:sz="0" w:space="0" w:color="auto"/>
        <w:right w:val="none" w:sz="0" w:space="0" w:color="auto"/>
      </w:divBdr>
    </w:div>
    <w:div w:id="283510424">
      <w:bodyDiv w:val="1"/>
      <w:marLeft w:val="0"/>
      <w:marRight w:val="0"/>
      <w:marTop w:val="0"/>
      <w:marBottom w:val="0"/>
      <w:divBdr>
        <w:top w:val="none" w:sz="0" w:space="0" w:color="auto"/>
        <w:left w:val="none" w:sz="0" w:space="0" w:color="auto"/>
        <w:bottom w:val="none" w:sz="0" w:space="0" w:color="auto"/>
        <w:right w:val="none" w:sz="0" w:space="0" w:color="auto"/>
      </w:divBdr>
      <w:divsChild>
        <w:div w:id="1816725675">
          <w:marLeft w:val="547"/>
          <w:marRight w:val="0"/>
          <w:marTop w:val="96"/>
          <w:marBottom w:val="0"/>
          <w:divBdr>
            <w:top w:val="none" w:sz="0" w:space="0" w:color="auto"/>
            <w:left w:val="none" w:sz="0" w:space="0" w:color="auto"/>
            <w:bottom w:val="none" w:sz="0" w:space="0" w:color="auto"/>
            <w:right w:val="none" w:sz="0" w:space="0" w:color="auto"/>
          </w:divBdr>
        </w:div>
      </w:divsChild>
    </w:div>
    <w:div w:id="286468515">
      <w:bodyDiv w:val="1"/>
      <w:marLeft w:val="0"/>
      <w:marRight w:val="0"/>
      <w:marTop w:val="0"/>
      <w:marBottom w:val="0"/>
      <w:divBdr>
        <w:top w:val="none" w:sz="0" w:space="0" w:color="auto"/>
        <w:left w:val="none" w:sz="0" w:space="0" w:color="auto"/>
        <w:bottom w:val="none" w:sz="0" w:space="0" w:color="auto"/>
        <w:right w:val="none" w:sz="0" w:space="0" w:color="auto"/>
      </w:divBdr>
    </w:div>
    <w:div w:id="286618333">
      <w:bodyDiv w:val="1"/>
      <w:marLeft w:val="0"/>
      <w:marRight w:val="0"/>
      <w:marTop w:val="0"/>
      <w:marBottom w:val="0"/>
      <w:divBdr>
        <w:top w:val="none" w:sz="0" w:space="0" w:color="auto"/>
        <w:left w:val="none" w:sz="0" w:space="0" w:color="auto"/>
        <w:bottom w:val="none" w:sz="0" w:space="0" w:color="auto"/>
        <w:right w:val="none" w:sz="0" w:space="0" w:color="auto"/>
      </w:divBdr>
    </w:div>
    <w:div w:id="299696744">
      <w:bodyDiv w:val="1"/>
      <w:marLeft w:val="0"/>
      <w:marRight w:val="0"/>
      <w:marTop w:val="0"/>
      <w:marBottom w:val="0"/>
      <w:divBdr>
        <w:top w:val="none" w:sz="0" w:space="0" w:color="auto"/>
        <w:left w:val="none" w:sz="0" w:space="0" w:color="auto"/>
        <w:bottom w:val="none" w:sz="0" w:space="0" w:color="auto"/>
        <w:right w:val="none" w:sz="0" w:space="0" w:color="auto"/>
      </w:divBdr>
      <w:divsChild>
        <w:div w:id="1029524969">
          <w:marLeft w:val="1166"/>
          <w:marRight w:val="0"/>
          <w:marTop w:val="77"/>
          <w:marBottom w:val="0"/>
          <w:divBdr>
            <w:top w:val="none" w:sz="0" w:space="0" w:color="auto"/>
            <w:left w:val="none" w:sz="0" w:space="0" w:color="auto"/>
            <w:bottom w:val="none" w:sz="0" w:space="0" w:color="auto"/>
            <w:right w:val="none" w:sz="0" w:space="0" w:color="auto"/>
          </w:divBdr>
        </w:div>
        <w:div w:id="1248927459">
          <w:marLeft w:val="1166"/>
          <w:marRight w:val="0"/>
          <w:marTop w:val="77"/>
          <w:marBottom w:val="0"/>
          <w:divBdr>
            <w:top w:val="none" w:sz="0" w:space="0" w:color="auto"/>
            <w:left w:val="none" w:sz="0" w:space="0" w:color="auto"/>
            <w:bottom w:val="none" w:sz="0" w:space="0" w:color="auto"/>
            <w:right w:val="none" w:sz="0" w:space="0" w:color="auto"/>
          </w:divBdr>
        </w:div>
      </w:divsChild>
    </w:div>
    <w:div w:id="426732031">
      <w:bodyDiv w:val="1"/>
      <w:marLeft w:val="0"/>
      <w:marRight w:val="0"/>
      <w:marTop w:val="0"/>
      <w:marBottom w:val="0"/>
      <w:divBdr>
        <w:top w:val="none" w:sz="0" w:space="0" w:color="auto"/>
        <w:left w:val="none" w:sz="0" w:space="0" w:color="auto"/>
        <w:bottom w:val="none" w:sz="0" w:space="0" w:color="auto"/>
        <w:right w:val="none" w:sz="0" w:space="0" w:color="auto"/>
      </w:divBdr>
      <w:divsChild>
        <w:div w:id="601841741">
          <w:marLeft w:val="1166"/>
          <w:marRight w:val="0"/>
          <w:marTop w:val="77"/>
          <w:marBottom w:val="0"/>
          <w:divBdr>
            <w:top w:val="none" w:sz="0" w:space="0" w:color="auto"/>
            <w:left w:val="none" w:sz="0" w:space="0" w:color="auto"/>
            <w:bottom w:val="none" w:sz="0" w:space="0" w:color="auto"/>
            <w:right w:val="none" w:sz="0" w:space="0" w:color="auto"/>
          </w:divBdr>
        </w:div>
        <w:div w:id="1626739474">
          <w:marLeft w:val="1166"/>
          <w:marRight w:val="0"/>
          <w:marTop w:val="77"/>
          <w:marBottom w:val="0"/>
          <w:divBdr>
            <w:top w:val="none" w:sz="0" w:space="0" w:color="auto"/>
            <w:left w:val="none" w:sz="0" w:space="0" w:color="auto"/>
            <w:bottom w:val="none" w:sz="0" w:space="0" w:color="auto"/>
            <w:right w:val="none" w:sz="0" w:space="0" w:color="auto"/>
          </w:divBdr>
        </w:div>
        <w:div w:id="1928152732">
          <w:marLeft w:val="1166"/>
          <w:marRight w:val="0"/>
          <w:marTop w:val="77"/>
          <w:marBottom w:val="0"/>
          <w:divBdr>
            <w:top w:val="none" w:sz="0" w:space="0" w:color="auto"/>
            <w:left w:val="none" w:sz="0" w:space="0" w:color="auto"/>
            <w:bottom w:val="none" w:sz="0" w:space="0" w:color="auto"/>
            <w:right w:val="none" w:sz="0" w:space="0" w:color="auto"/>
          </w:divBdr>
        </w:div>
      </w:divsChild>
    </w:div>
    <w:div w:id="474570787">
      <w:bodyDiv w:val="1"/>
      <w:marLeft w:val="0"/>
      <w:marRight w:val="0"/>
      <w:marTop w:val="0"/>
      <w:marBottom w:val="0"/>
      <w:divBdr>
        <w:top w:val="none" w:sz="0" w:space="0" w:color="auto"/>
        <w:left w:val="none" w:sz="0" w:space="0" w:color="auto"/>
        <w:bottom w:val="none" w:sz="0" w:space="0" w:color="auto"/>
        <w:right w:val="none" w:sz="0" w:space="0" w:color="auto"/>
      </w:divBdr>
    </w:div>
    <w:div w:id="511336532">
      <w:bodyDiv w:val="1"/>
      <w:marLeft w:val="0"/>
      <w:marRight w:val="0"/>
      <w:marTop w:val="0"/>
      <w:marBottom w:val="0"/>
      <w:divBdr>
        <w:top w:val="none" w:sz="0" w:space="0" w:color="auto"/>
        <w:left w:val="none" w:sz="0" w:space="0" w:color="auto"/>
        <w:bottom w:val="none" w:sz="0" w:space="0" w:color="auto"/>
        <w:right w:val="none" w:sz="0" w:space="0" w:color="auto"/>
      </w:divBdr>
    </w:div>
    <w:div w:id="708458719">
      <w:bodyDiv w:val="1"/>
      <w:marLeft w:val="0"/>
      <w:marRight w:val="0"/>
      <w:marTop w:val="0"/>
      <w:marBottom w:val="0"/>
      <w:divBdr>
        <w:top w:val="none" w:sz="0" w:space="0" w:color="auto"/>
        <w:left w:val="none" w:sz="0" w:space="0" w:color="auto"/>
        <w:bottom w:val="none" w:sz="0" w:space="0" w:color="auto"/>
        <w:right w:val="none" w:sz="0" w:space="0" w:color="auto"/>
      </w:divBdr>
    </w:div>
    <w:div w:id="750083910">
      <w:bodyDiv w:val="1"/>
      <w:marLeft w:val="0"/>
      <w:marRight w:val="0"/>
      <w:marTop w:val="0"/>
      <w:marBottom w:val="0"/>
      <w:divBdr>
        <w:top w:val="none" w:sz="0" w:space="0" w:color="auto"/>
        <w:left w:val="none" w:sz="0" w:space="0" w:color="auto"/>
        <w:bottom w:val="none" w:sz="0" w:space="0" w:color="auto"/>
        <w:right w:val="none" w:sz="0" w:space="0" w:color="auto"/>
      </w:divBdr>
    </w:div>
    <w:div w:id="757596516">
      <w:bodyDiv w:val="1"/>
      <w:marLeft w:val="0"/>
      <w:marRight w:val="0"/>
      <w:marTop w:val="0"/>
      <w:marBottom w:val="0"/>
      <w:divBdr>
        <w:top w:val="none" w:sz="0" w:space="0" w:color="auto"/>
        <w:left w:val="none" w:sz="0" w:space="0" w:color="auto"/>
        <w:bottom w:val="none" w:sz="0" w:space="0" w:color="auto"/>
        <w:right w:val="none" w:sz="0" w:space="0" w:color="auto"/>
      </w:divBdr>
    </w:div>
    <w:div w:id="859202958">
      <w:bodyDiv w:val="1"/>
      <w:marLeft w:val="0"/>
      <w:marRight w:val="0"/>
      <w:marTop w:val="0"/>
      <w:marBottom w:val="0"/>
      <w:divBdr>
        <w:top w:val="none" w:sz="0" w:space="0" w:color="auto"/>
        <w:left w:val="none" w:sz="0" w:space="0" w:color="auto"/>
        <w:bottom w:val="none" w:sz="0" w:space="0" w:color="auto"/>
        <w:right w:val="none" w:sz="0" w:space="0" w:color="auto"/>
      </w:divBdr>
    </w:div>
    <w:div w:id="1168061914">
      <w:bodyDiv w:val="1"/>
      <w:marLeft w:val="0"/>
      <w:marRight w:val="0"/>
      <w:marTop w:val="0"/>
      <w:marBottom w:val="0"/>
      <w:divBdr>
        <w:top w:val="none" w:sz="0" w:space="0" w:color="auto"/>
        <w:left w:val="none" w:sz="0" w:space="0" w:color="auto"/>
        <w:bottom w:val="none" w:sz="0" w:space="0" w:color="auto"/>
        <w:right w:val="none" w:sz="0" w:space="0" w:color="auto"/>
      </w:divBdr>
      <w:divsChild>
        <w:div w:id="342438317">
          <w:marLeft w:val="0"/>
          <w:marRight w:val="0"/>
          <w:marTop w:val="0"/>
          <w:marBottom w:val="0"/>
          <w:divBdr>
            <w:top w:val="none" w:sz="0" w:space="0" w:color="auto"/>
            <w:left w:val="none" w:sz="0" w:space="0" w:color="auto"/>
            <w:bottom w:val="none" w:sz="0" w:space="0" w:color="auto"/>
            <w:right w:val="none" w:sz="0" w:space="0" w:color="auto"/>
          </w:divBdr>
          <w:divsChild>
            <w:div w:id="160693">
              <w:marLeft w:val="0"/>
              <w:marRight w:val="0"/>
              <w:marTop w:val="0"/>
              <w:marBottom w:val="0"/>
              <w:divBdr>
                <w:top w:val="none" w:sz="0" w:space="0" w:color="auto"/>
                <w:left w:val="none" w:sz="0" w:space="0" w:color="auto"/>
                <w:bottom w:val="none" w:sz="0" w:space="0" w:color="auto"/>
                <w:right w:val="none" w:sz="0" w:space="0" w:color="auto"/>
              </w:divBdr>
              <w:divsChild>
                <w:div w:id="854615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87744106">
          <w:marLeft w:val="0"/>
          <w:marRight w:val="0"/>
          <w:marTop w:val="0"/>
          <w:marBottom w:val="0"/>
          <w:divBdr>
            <w:top w:val="none" w:sz="0" w:space="0" w:color="auto"/>
            <w:left w:val="none" w:sz="0" w:space="0" w:color="auto"/>
            <w:bottom w:val="none" w:sz="0" w:space="0" w:color="auto"/>
            <w:right w:val="none" w:sz="0" w:space="0" w:color="auto"/>
          </w:divBdr>
          <w:divsChild>
            <w:div w:id="438645031">
              <w:marLeft w:val="0"/>
              <w:marRight w:val="0"/>
              <w:marTop w:val="0"/>
              <w:marBottom w:val="0"/>
              <w:divBdr>
                <w:top w:val="none" w:sz="0" w:space="0" w:color="auto"/>
                <w:left w:val="none" w:sz="0" w:space="0" w:color="auto"/>
                <w:bottom w:val="none" w:sz="0" w:space="0" w:color="auto"/>
                <w:right w:val="none" w:sz="0" w:space="0" w:color="auto"/>
              </w:divBdr>
              <w:divsChild>
                <w:div w:id="10560093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15654598">
          <w:marLeft w:val="0"/>
          <w:marRight w:val="0"/>
          <w:marTop w:val="0"/>
          <w:marBottom w:val="0"/>
          <w:divBdr>
            <w:top w:val="none" w:sz="0" w:space="0" w:color="auto"/>
            <w:left w:val="none" w:sz="0" w:space="0" w:color="auto"/>
            <w:bottom w:val="none" w:sz="0" w:space="0" w:color="auto"/>
            <w:right w:val="none" w:sz="0" w:space="0" w:color="auto"/>
          </w:divBdr>
          <w:divsChild>
            <w:div w:id="1783987641">
              <w:marLeft w:val="0"/>
              <w:marRight w:val="0"/>
              <w:marTop w:val="0"/>
              <w:marBottom w:val="0"/>
              <w:divBdr>
                <w:top w:val="none" w:sz="0" w:space="0" w:color="auto"/>
                <w:left w:val="none" w:sz="0" w:space="0" w:color="auto"/>
                <w:bottom w:val="none" w:sz="0" w:space="0" w:color="auto"/>
                <w:right w:val="none" w:sz="0" w:space="0" w:color="auto"/>
              </w:divBdr>
              <w:divsChild>
                <w:div w:id="16593080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4681365">
          <w:marLeft w:val="0"/>
          <w:marRight w:val="0"/>
          <w:marTop w:val="0"/>
          <w:marBottom w:val="0"/>
          <w:divBdr>
            <w:top w:val="none" w:sz="0" w:space="0" w:color="auto"/>
            <w:left w:val="none" w:sz="0" w:space="0" w:color="auto"/>
            <w:bottom w:val="none" w:sz="0" w:space="0" w:color="auto"/>
            <w:right w:val="none" w:sz="0" w:space="0" w:color="auto"/>
          </w:divBdr>
          <w:divsChild>
            <w:div w:id="1485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7801">
      <w:bodyDiv w:val="1"/>
      <w:marLeft w:val="0"/>
      <w:marRight w:val="0"/>
      <w:marTop w:val="0"/>
      <w:marBottom w:val="0"/>
      <w:divBdr>
        <w:top w:val="none" w:sz="0" w:space="0" w:color="auto"/>
        <w:left w:val="none" w:sz="0" w:space="0" w:color="auto"/>
        <w:bottom w:val="none" w:sz="0" w:space="0" w:color="auto"/>
        <w:right w:val="none" w:sz="0" w:space="0" w:color="auto"/>
      </w:divBdr>
      <w:divsChild>
        <w:div w:id="257254147">
          <w:marLeft w:val="0"/>
          <w:marRight w:val="0"/>
          <w:marTop w:val="0"/>
          <w:marBottom w:val="0"/>
          <w:divBdr>
            <w:top w:val="none" w:sz="0" w:space="0" w:color="auto"/>
            <w:left w:val="none" w:sz="0" w:space="0" w:color="auto"/>
            <w:bottom w:val="none" w:sz="0" w:space="0" w:color="auto"/>
            <w:right w:val="none" w:sz="0" w:space="0" w:color="auto"/>
          </w:divBdr>
          <w:divsChild>
            <w:div w:id="1593321412">
              <w:marLeft w:val="0"/>
              <w:marRight w:val="0"/>
              <w:marTop w:val="0"/>
              <w:marBottom w:val="0"/>
              <w:divBdr>
                <w:top w:val="none" w:sz="0" w:space="0" w:color="auto"/>
                <w:left w:val="none" w:sz="0" w:space="0" w:color="auto"/>
                <w:bottom w:val="none" w:sz="0" w:space="0" w:color="auto"/>
                <w:right w:val="none" w:sz="0" w:space="0" w:color="auto"/>
              </w:divBdr>
              <w:divsChild>
                <w:div w:id="3639910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73273982">
          <w:marLeft w:val="0"/>
          <w:marRight w:val="0"/>
          <w:marTop w:val="0"/>
          <w:marBottom w:val="0"/>
          <w:divBdr>
            <w:top w:val="none" w:sz="0" w:space="0" w:color="auto"/>
            <w:left w:val="none" w:sz="0" w:space="0" w:color="auto"/>
            <w:bottom w:val="none" w:sz="0" w:space="0" w:color="auto"/>
            <w:right w:val="none" w:sz="0" w:space="0" w:color="auto"/>
          </w:divBdr>
          <w:divsChild>
            <w:div w:id="622152980">
              <w:marLeft w:val="0"/>
              <w:marRight w:val="0"/>
              <w:marTop w:val="0"/>
              <w:marBottom w:val="0"/>
              <w:divBdr>
                <w:top w:val="none" w:sz="0" w:space="0" w:color="auto"/>
                <w:left w:val="none" w:sz="0" w:space="0" w:color="auto"/>
                <w:bottom w:val="none" w:sz="0" w:space="0" w:color="auto"/>
                <w:right w:val="none" w:sz="0" w:space="0" w:color="auto"/>
              </w:divBdr>
            </w:div>
          </w:divsChild>
        </w:div>
        <w:div w:id="1717394651">
          <w:marLeft w:val="0"/>
          <w:marRight w:val="0"/>
          <w:marTop w:val="0"/>
          <w:marBottom w:val="0"/>
          <w:divBdr>
            <w:top w:val="none" w:sz="0" w:space="0" w:color="auto"/>
            <w:left w:val="none" w:sz="0" w:space="0" w:color="auto"/>
            <w:bottom w:val="none" w:sz="0" w:space="0" w:color="auto"/>
            <w:right w:val="none" w:sz="0" w:space="0" w:color="auto"/>
          </w:divBdr>
          <w:divsChild>
            <w:div w:id="1632857515">
              <w:marLeft w:val="0"/>
              <w:marRight w:val="0"/>
              <w:marTop w:val="0"/>
              <w:marBottom w:val="0"/>
              <w:divBdr>
                <w:top w:val="none" w:sz="0" w:space="0" w:color="auto"/>
                <w:left w:val="none" w:sz="0" w:space="0" w:color="auto"/>
                <w:bottom w:val="none" w:sz="0" w:space="0" w:color="auto"/>
                <w:right w:val="none" w:sz="0" w:space="0" w:color="auto"/>
              </w:divBdr>
              <w:divsChild>
                <w:div w:id="2085422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35443462">
          <w:marLeft w:val="0"/>
          <w:marRight w:val="0"/>
          <w:marTop w:val="0"/>
          <w:marBottom w:val="0"/>
          <w:divBdr>
            <w:top w:val="none" w:sz="0" w:space="0" w:color="auto"/>
            <w:left w:val="none" w:sz="0" w:space="0" w:color="auto"/>
            <w:bottom w:val="none" w:sz="0" w:space="0" w:color="auto"/>
            <w:right w:val="none" w:sz="0" w:space="0" w:color="auto"/>
          </w:divBdr>
          <w:divsChild>
            <w:div w:id="744913788">
              <w:marLeft w:val="0"/>
              <w:marRight w:val="0"/>
              <w:marTop w:val="0"/>
              <w:marBottom w:val="0"/>
              <w:divBdr>
                <w:top w:val="none" w:sz="0" w:space="0" w:color="auto"/>
                <w:left w:val="none" w:sz="0" w:space="0" w:color="auto"/>
                <w:bottom w:val="none" w:sz="0" w:space="0" w:color="auto"/>
                <w:right w:val="none" w:sz="0" w:space="0" w:color="auto"/>
              </w:divBdr>
              <w:divsChild>
                <w:div w:id="16268847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08909812">
      <w:bodyDiv w:val="1"/>
      <w:marLeft w:val="0"/>
      <w:marRight w:val="0"/>
      <w:marTop w:val="0"/>
      <w:marBottom w:val="0"/>
      <w:divBdr>
        <w:top w:val="none" w:sz="0" w:space="0" w:color="auto"/>
        <w:left w:val="none" w:sz="0" w:space="0" w:color="auto"/>
        <w:bottom w:val="none" w:sz="0" w:space="0" w:color="auto"/>
        <w:right w:val="none" w:sz="0" w:space="0" w:color="auto"/>
      </w:divBdr>
    </w:div>
    <w:div w:id="1234848640">
      <w:bodyDiv w:val="1"/>
      <w:marLeft w:val="0"/>
      <w:marRight w:val="0"/>
      <w:marTop w:val="0"/>
      <w:marBottom w:val="0"/>
      <w:divBdr>
        <w:top w:val="none" w:sz="0" w:space="0" w:color="auto"/>
        <w:left w:val="none" w:sz="0" w:space="0" w:color="auto"/>
        <w:bottom w:val="none" w:sz="0" w:space="0" w:color="auto"/>
        <w:right w:val="none" w:sz="0" w:space="0" w:color="auto"/>
      </w:divBdr>
    </w:div>
    <w:div w:id="1238709247">
      <w:bodyDiv w:val="1"/>
      <w:marLeft w:val="0"/>
      <w:marRight w:val="0"/>
      <w:marTop w:val="0"/>
      <w:marBottom w:val="0"/>
      <w:divBdr>
        <w:top w:val="none" w:sz="0" w:space="0" w:color="auto"/>
        <w:left w:val="none" w:sz="0" w:space="0" w:color="auto"/>
        <w:bottom w:val="none" w:sz="0" w:space="0" w:color="auto"/>
        <w:right w:val="none" w:sz="0" w:space="0" w:color="auto"/>
      </w:divBdr>
    </w:div>
    <w:div w:id="1258949255">
      <w:bodyDiv w:val="1"/>
      <w:marLeft w:val="0"/>
      <w:marRight w:val="0"/>
      <w:marTop w:val="0"/>
      <w:marBottom w:val="0"/>
      <w:divBdr>
        <w:top w:val="none" w:sz="0" w:space="0" w:color="auto"/>
        <w:left w:val="none" w:sz="0" w:space="0" w:color="auto"/>
        <w:bottom w:val="none" w:sz="0" w:space="0" w:color="auto"/>
        <w:right w:val="none" w:sz="0" w:space="0" w:color="auto"/>
      </w:divBdr>
      <w:divsChild>
        <w:div w:id="471750745">
          <w:marLeft w:val="1166"/>
          <w:marRight w:val="0"/>
          <w:marTop w:val="86"/>
          <w:marBottom w:val="0"/>
          <w:divBdr>
            <w:top w:val="none" w:sz="0" w:space="0" w:color="auto"/>
            <w:left w:val="none" w:sz="0" w:space="0" w:color="auto"/>
            <w:bottom w:val="none" w:sz="0" w:space="0" w:color="auto"/>
            <w:right w:val="none" w:sz="0" w:space="0" w:color="auto"/>
          </w:divBdr>
        </w:div>
        <w:div w:id="973758677">
          <w:marLeft w:val="1166"/>
          <w:marRight w:val="0"/>
          <w:marTop w:val="86"/>
          <w:marBottom w:val="0"/>
          <w:divBdr>
            <w:top w:val="none" w:sz="0" w:space="0" w:color="auto"/>
            <w:left w:val="none" w:sz="0" w:space="0" w:color="auto"/>
            <w:bottom w:val="none" w:sz="0" w:space="0" w:color="auto"/>
            <w:right w:val="none" w:sz="0" w:space="0" w:color="auto"/>
          </w:divBdr>
        </w:div>
        <w:div w:id="1153765262">
          <w:marLeft w:val="547"/>
          <w:marRight w:val="0"/>
          <w:marTop w:val="96"/>
          <w:marBottom w:val="0"/>
          <w:divBdr>
            <w:top w:val="none" w:sz="0" w:space="0" w:color="auto"/>
            <w:left w:val="none" w:sz="0" w:space="0" w:color="auto"/>
            <w:bottom w:val="none" w:sz="0" w:space="0" w:color="auto"/>
            <w:right w:val="none" w:sz="0" w:space="0" w:color="auto"/>
          </w:divBdr>
        </w:div>
        <w:div w:id="1221408383">
          <w:marLeft w:val="1166"/>
          <w:marRight w:val="0"/>
          <w:marTop w:val="86"/>
          <w:marBottom w:val="0"/>
          <w:divBdr>
            <w:top w:val="none" w:sz="0" w:space="0" w:color="auto"/>
            <w:left w:val="none" w:sz="0" w:space="0" w:color="auto"/>
            <w:bottom w:val="none" w:sz="0" w:space="0" w:color="auto"/>
            <w:right w:val="none" w:sz="0" w:space="0" w:color="auto"/>
          </w:divBdr>
        </w:div>
        <w:div w:id="1409963351">
          <w:marLeft w:val="1166"/>
          <w:marRight w:val="0"/>
          <w:marTop w:val="86"/>
          <w:marBottom w:val="0"/>
          <w:divBdr>
            <w:top w:val="none" w:sz="0" w:space="0" w:color="auto"/>
            <w:left w:val="none" w:sz="0" w:space="0" w:color="auto"/>
            <w:bottom w:val="none" w:sz="0" w:space="0" w:color="auto"/>
            <w:right w:val="none" w:sz="0" w:space="0" w:color="auto"/>
          </w:divBdr>
        </w:div>
        <w:div w:id="1603604964">
          <w:marLeft w:val="1166"/>
          <w:marRight w:val="0"/>
          <w:marTop w:val="86"/>
          <w:marBottom w:val="0"/>
          <w:divBdr>
            <w:top w:val="none" w:sz="0" w:space="0" w:color="auto"/>
            <w:left w:val="none" w:sz="0" w:space="0" w:color="auto"/>
            <w:bottom w:val="none" w:sz="0" w:space="0" w:color="auto"/>
            <w:right w:val="none" w:sz="0" w:space="0" w:color="auto"/>
          </w:divBdr>
        </w:div>
        <w:div w:id="1753234038">
          <w:marLeft w:val="1166"/>
          <w:marRight w:val="0"/>
          <w:marTop w:val="86"/>
          <w:marBottom w:val="0"/>
          <w:divBdr>
            <w:top w:val="none" w:sz="0" w:space="0" w:color="auto"/>
            <w:left w:val="none" w:sz="0" w:space="0" w:color="auto"/>
            <w:bottom w:val="none" w:sz="0" w:space="0" w:color="auto"/>
            <w:right w:val="none" w:sz="0" w:space="0" w:color="auto"/>
          </w:divBdr>
        </w:div>
      </w:divsChild>
    </w:div>
    <w:div w:id="1480659306">
      <w:bodyDiv w:val="1"/>
      <w:marLeft w:val="0"/>
      <w:marRight w:val="0"/>
      <w:marTop w:val="0"/>
      <w:marBottom w:val="0"/>
      <w:divBdr>
        <w:top w:val="none" w:sz="0" w:space="0" w:color="auto"/>
        <w:left w:val="none" w:sz="0" w:space="0" w:color="auto"/>
        <w:bottom w:val="none" w:sz="0" w:space="0" w:color="auto"/>
        <w:right w:val="none" w:sz="0" w:space="0" w:color="auto"/>
      </w:divBdr>
    </w:div>
    <w:div w:id="1818300568">
      <w:bodyDiv w:val="1"/>
      <w:marLeft w:val="0"/>
      <w:marRight w:val="0"/>
      <w:marTop w:val="0"/>
      <w:marBottom w:val="0"/>
      <w:divBdr>
        <w:top w:val="none" w:sz="0" w:space="0" w:color="auto"/>
        <w:left w:val="none" w:sz="0" w:space="0" w:color="auto"/>
        <w:bottom w:val="none" w:sz="0" w:space="0" w:color="auto"/>
        <w:right w:val="none" w:sz="0" w:space="0" w:color="auto"/>
      </w:divBdr>
    </w:div>
    <w:div w:id="1917860372">
      <w:bodyDiv w:val="1"/>
      <w:marLeft w:val="0"/>
      <w:marRight w:val="0"/>
      <w:marTop w:val="0"/>
      <w:marBottom w:val="0"/>
      <w:divBdr>
        <w:top w:val="none" w:sz="0" w:space="0" w:color="auto"/>
        <w:left w:val="none" w:sz="0" w:space="0" w:color="auto"/>
        <w:bottom w:val="none" w:sz="0" w:space="0" w:color="auto"/>
        <w:right w:val="none" w:sz="0" w:space="0" w:color="auto"/>
      </w:divBdr>
    </w:div>
    <w:div w:id="1990203285">
      <w:bodyDiv w:val="1"/>
      <w:marLeft w:val="0"/>
      <w:marRight w:val="0"/>
      <w:marTop w:val="0"/>
      <w:marBottom w:val="0"/>
      <w:divBdr>
        <w:top w:val="none" w:sz="0" w:space="0" w:color="auto"/>
        <w:left w:val="none" w:sz="0" w:space="0" w:color="auto"/>
        <w:bottom w:val="none" w:sz="0" w:space="0" w:color="auto"/>
        <w:right w:val="none" w:sz="0" w:space="0" w:color="auto"/>
      </w:divBdr>
    </w:div>
    <w:div w:id="20273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nsw.gov.au/lcdocs/submissions/66449/009%20Department%20of%20Parliamentary%20Services,%20NSW%20Parliament%20ORIGINAL.pdf" TargetMode="External"/><Relationship Id="rId3" Type="http://schemas.openxmlformats.org/officeDocument/2006/relationships/hyperlink" Target="https://eptanetwork.org/static-html/comparative-table/countryreport/united_kingdom.html" TargetMode="External"/><Relationship Id="rId7" Type="http://schemas.openxmlformats.org/officeDocument/2006/relationships/hyperlink" Target="https://www.parliament.nsw.gov.au/lcdocs/inquiries/2541/Final%20report%20on%20Consultation%20on%20highly%20contentious%20bills%20and%20expert%20panel%20tabled%2015%20September%202020.pdf" TargetMode="External"/><Relationship Id="rId2" Type="http://schemas.openxmlformats.org/officeDocument/2006/relationships/hyperlink" Target="https://www.cpahq.org/knowledge-centre/blogs/parliamentary-research/" TargetMode="External"/><Relationship Id="rId1" Type="http://schemas.openxmlformats.org/officeDocument/2006/relationships/hyperlink" Target="https://www.ipu.org/resources/publications/reference/2016-07/guidelines-parliamentary-research-services" TargetMode="External"/><Relationship Id="rId6" Type="http://schemas.openxmlformats.org/officeDocument/2006/relationships/hyperlink" Target="https://www.science.org.au/curious/policy-features/how-should-australian-parliament-get-its-science-advice" TargetMode="External"/><Relationship Id="rId5" Type="http://schemas.openxmlformats.org/officeDocument/2006/relationships/hyperlink" Target="https://post.parliament.uk/about-us/" TargetMode="External"/><Relationship Id="rId10" Type="http://schemas.openxmlformats.org/officeDocument/2006/relationships/hyperlink" Target="https://papers.ssrn.com/sol3/papers.cfm?abstract_id=3216371" TargetMode="External"/><Relationship Id="rId4" Type="http://schemas.openxmlformats.org/officeDocument/2006/relationships/hyperlink" Target="https://post.parliament.uk/about-us/post-board/" TargetMode="External"/><Relationship Id="rId9" Type="http://schemas.openxmlformats.org/officeDocument/2006/relationships/hyperlink" Target="https://www.aph.gov.au/About_Parliament/House_of_Representatives/Powers_practice_and_procedure/Practice7/HTML/Chapter18/Parliamentary_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153FA4B873A64CABF59C389B1DEBDA" ma:contentTypeVersion="6" ma:contentTypeDescription="Create a new document." ma:contentTypeScope="" ma:versionID="77f9c4e4022ed62b82d72585c93242b4">
  <xsd:schema xmlns:xsd="http://www.w3.org/2001/XMLSchema" xmlns:xs="http://www.w3.org/2001/XMLSchema" xmlns:p="http://schemas.microsoft.com/office/2006/metadata/properties" xmlns:ns2="b531e4eb-d9ab-42a2-95c6-0d0bf8d584b0" xmlns:ns3="a2cbb96a-91a6-4743-b78b-19f068d55649" targetNamespace="http://schemas.microsoft.com/office/2006/metadata/properties" ma:root="true" ma:fieldsID="cb5a9ad3d9cee415f5145587c9eca817" ns2:_="" ns3:_="">
    <xsd:import namespace="b531e4eb-d9ab-42a2-95c6-0d0bf8d584b0"/>
    <xsd:import namespace="a2cbb96a-91a6-4743-b78b-19f068d556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1e4eb-d9ab-42a2-95c6-0d0bf8d58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cbb96a-91a6-4743-b78b-19f068d5564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A47B1-FD9A-4DAD-9F9A-4266B47F49B6}">
  <ds:schemaRefs>
    <ds:schemaRef ds:uri="http://schemas.openxmlformats.org/officeDocument/2006/bibliography"/>
  </ds:schemaRefs>
</ds:datastoreItem>
</file>

<file path=customXml/itemProps2.xml><?xml version="1.0" encoding="utf-8"?>
<ds:datastoreItem xmlns:ds="http://schemas.openxmlformats.org/officeDocument/2006/customXml" ds:itemID="{AF0C7048-BB95-4E4A-87F4-E9E7006AC2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2E949F-9861-4361-A461-1629C3974147}">
  <ds:schemaRefs>
    <ds:schemaRef ds:uri="http://schemas.microsoft.com/sharepoint/v3/contenttype/forms"/>
  </ds:schemaRefs>
</ds:datastoreItem>
</file>

<file path=customXml/itemProps4.xml><?xml version="1.0" encoding="utf-8"?>
<ds:datastoreItem xmlns:ds="http://schemas.openxmlformats.org/officeDocument/2006/customXml" ds:itemID="{1E33D6AC-A987-439A-A9FA-DCB2B0128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e4eb-d9ab-42a2-95c6-0d0bf8d584b0"/>
    <ds:schemaRef ds:uri="a2cbb96a-91a6-4743-b78b-19f068d55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4348</Words>
  <Characters>24524</Characters>
  <Application>Microsoft Office Word</Application>
  <DocSecurity>0</DocSecurity>
  <Lines>415</Lines>
  <Paragraphs>102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28770</CharactersWithSpaces>
  <SharedDoc>false</SharedDoc>
  <HLinks>
    <vt:vector size="60" baseType="variant">
      <vt:variant>
        <vt:i4>3407951</vt:i4>
      </vt:variant>
      <vt:variant>
        <vt:i4>27</vt:i4>
      </vt:variant>
      <vt:variant>
        <vt:i4>0</vt:i4>
      </vt:variant>
      <vt:variant>
        <vt:i4>5</vt:i4>
      </vt:variant>
      <vt:variant>
        <vt:lpwstr>https://papers.ssrn.com/sol3/papers.cfm?abstract_id=3216371</vt:lpwstr>
      </vt:variant>
      <vt:variant>
        <vt:lpwstr/>
      </vt:variant>
      <vt:variant>
        <vt:i4>2949130</vt:i4>
      </vt:variant>
      <vt:variant>
        <vt:i4>24</vt:i4>
      </vt:variant>
      <vt:variant>
        <vt:i4>0</vt:i4>
      </vt:variant>
      <vt:variant>
        <vt:i4>5</vt:i4>
      </vt:variant>
      <vt:variant>
        <vt:lpwstr>https://www.aph.gov.au/About_Parliament/House_of_Representatives/Powers_practice_and_procedure/Practice7/HTML/Chapter18/Parliamentary_committees</vt:lpwstr>
      </vt:variant>
      <vt:variant>
        <vt:lpwstr/>
      </vt:variant>
      <vt:variant>
        <vt:i4>720925</vt:i4>
      </vt:variant>
      <vt:variant>
        <vt:i4>21</vt:i4>
      </vt:variant>
      <vt:variant>
        <vt:i4>0</vt:i4>
      </vt:variant>
      <vt:variant>
        <vt:i4>5</vt:i4>
      </vt:variant>
      <vt:variant>
        <vt:lpwstr>https://www.parliament.nsw.gov.au/lcdocs/submissions/66449/009 Department of Parliamentary Services, NSW Parliament ORIGINAL.pdf</vt:lpwstr>
      </vt:variant>
      <vt:variant>
        <vt:lpwstr/>
      </vt:variant>
      <vt:variant>
        <vt:i4>3801135</vt:i4>
      </vt:variant>
      <vt:variant>
        <vt:i4>18</vt:i4>
      </vt:variant>
      <vt:variant>
        <vt:i4>0</vt:i4>
      </vt:variant>
      <vt:variant>
        <vt:i4>5</vt:i4>
      </vt:variant>
      <vt:variant>
        <vt:lpwstr>https://www.parliament.nsw.gov.au/lcdocs/inquiries/2541/Final report on Consultation on highly contentious bills and expert panel tabled 15 September 2020.pdf</vt:lpwstr>
      </vt:variant>
      <vt:variant>
        <vt:lpwstr/>
      </vt:variant>
      <vt:variant>
        <vt:i4>5570589</vt:i4>
      </vt:variant>
      <vt:variant>
        <vt:i4>15</vt:i4>
      </vt:variant>
      <vt:variant>
        <vt:i4>0</vt:i4>
      </vt:variant>
      <vt:variant>
        <vt:i4>5</vt:i4>
      </vt:variant>
      <vt:variant>
        <vt:lpwstr>https://www.science.org.au/curious/policy-features/how-should-australian-parliament-get-its-science-advice</vt:lpwstr>
      </vt:variant>
      <vt:variant>
        <vt:lpwstr>:~:text=A%20Parliamentary%20Science%20Office%20should,and%20evidence%20to%20all%20parliamentarians</vt:lpwstr>
      </vt:variant>
      <vt:variant>
        <vt:i4>458755</vt:i4>
      </vt:variant>
      <vt:variant>
        <vt:i4>12</vt:i4>
      </vt:variant>
      <vt:variant>
        <vt:i4>0</vt:i4>
      </vt:variant>
      <vt:variant>
        <vt:i4>5</vt:i4>
      </vt:variant>
      <vt:variant>
        <vt:lpwstr>https://post.parliament.uk/about-us/</vt:lpwstr>
      </vt:variant>
      <vt:variant>
        <vt:lpwstr/>
      </vt:variant>
      <vt:variant>
        <vt:i4>8060976</vt:i4>
      </vt:variant>
      <vt:variant>
        <vt:i4>9</vt:i4>
      </vt:variant>
      <vt:variant>
        <vt:i4>0</vt:i4>
      </vt:variant>
      <vt:variant>
        <vt:i4>5</vt:i4>
      </vt:variant>
      <vt:variant>
        <vt:lpwstr>https://post.parliament.uk/about-us/post-board/</vt:lpwstr>
      </vt:variant>
      <vt:variant>
        <vt:lpwstr/>
      </vt:variant>
      <vt:variant>
        <vt:i4>6356992</vt:i4>
      </vt:variant>
      <vt:variant>
        <vt:i4>6</vt:i4>
      </vt:variant>
      <vt:variant>
        <vt:i4>0</vt:i4>
      </vt:variant>
      <vt:variant>
        <vt:i4>5</vt:i4>
      </vt:variant>
      <vt:variant>
        <vt:lpwstr>https://eptanetwork.org/static-html/comparative-table/countryreport/united_kingdom.html</vt:lpwstr>
      </vt:variant>
      <vt:variant>
        <vt:lpwstr/>
      </vt:variant>
      <vt:variant>
        <vt:i4>4390942</vt:i4>
      </vt:variant>
      <vt:variant>
        <vt:i4>3</vt:i4>
      </vt:variant>
      <vt:variant>
        <vt:i4>0</vt:i4>
      </vt:variant>
      <vt:variant>
        <vt:i4>5</vt:i4>
      </vt:variant>
      <vt:variant>
        <vt:lpwstr>https://www.cpahq.org/knowledge-centre/blogs/parliamentary-research/</vt:lpwstr>
      </vt:variant>
      <vt:variant>
        <vt:lpwstr/>
      </vt:variant>
      <vt:variant>
        <vt:i4>6291580</vt:i4>
      </vt:variant>
      <vt:variant>
        <vt:i4>0</vt:i4>
      </vt:variant>
      <vt:variant>
        <vt:i4>0</vt:i4>
      </vt:variant>
      <vt:variant>
        <vt:i4>5</vt:i4>
      </vt:variant>
      <vt:variant>
        <vt:lpwstr>https://www.ipu.org/resources/publications/reference/2016-07/guidelines-parliamentary-research-services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Buckmaster, Luke (DPS)</dc:creator>
  <cp:keywords/>
  <dc:description/>
  <cp:lastModifiedBy>Thomas, Matthew (DPS)</cp:lastModifiedBy>
  <cp:revision>3</cp:revision>
  <dcterms:created xsi:type="dcterms:W3CDTF">2024-09-13T02:20:00Z</dcterms:created>
  <dcterms:modified xsi:type="dcterms:W3CDTF">2024-09-13T02:37:00Z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4ea0fa-41da-4eb0-b95e-07c328641c0b_Enabled">
    <vt:lpwstr>true</vt:lpwstr>
  </property>
  <property fmtid="{D5CDD505-2E9C-101B-9397-08002B2CF9AE}" pid="3" name="MSIP_Label_234ea0fa-41da-4eb0-b95e-07c328641c0b_SetDate">
    <vt:lpwstr>2024-07-12T06:51:12Z</vt:lpwstr>
  </property>
  <property fmtid="{D5CDD505-2E9C-101B-9397-08002B2CF9AE}" pid="4" name="MSIP_Label_234ea0fa-41da-4eb0-b95e-07c328641c0b_Method">
    <vt:lpwstr>Privileged</vt:lpwstr>
  </property>
  <property fmtid="{D5CDD505-2E9C-101B-9397-08002B2CF9AE}" pid="5" name="MSIP_Label_234ea0fa-41da-4eb0-b95e-07c328641c0b_Name">
    <vt:lpwstr>BLANK</vt:lpwstr>
  </property>
  <property fmtid="{D5CDD505-2E9C-101B-9397-08002B2CF9AE}" pid="6" name="MSIP_Label_234ea0fa-41da-4eb0-b95e-07c328641c0b_SiteId">
    <vt:lpwstr>f6214c15-3a99-47d1-b862-c9648e927316</vt:lpwstr>
  </property>
  <property fmtid="{D5CDD505-2E9C-101B-9397-08002B2CF9AE}" pid="7" name="MSIP_Label_234ea0fa-41da-4eb0-b95e-07c328641c0b_ActionId">
    <vt:lpwstr>7ddac01e-7210-4b9d-a2ee-33c278a0242c</vt:lpwstr>
  </property>
  <property fmtid="{D5CDD505-2E9C-101B-9397-08002B2CF9AE}" pid="8" name="MSIP_Label_234ea0fa-41da-4eb0-b95e-07c328641c0b_ContentBits">
    <vt:lpwstr>0</vt:lpwstr>
  </property>
  <property fmtid="{D5CDD505-2E9C-101B-9397-08002B2CF9AE}" pid="9" name="ContentTypeId">
    <vt:lpwstr>0x01010018153FA4B873A64CABF59C389B1DEBDA</vt:lpwstr>
  </property>
</Properties>
</file>