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3345" w14:textId="7B217649" w:rsidR="00D96380" w:rsidRPr="00D96380" w:rsidRDefault="00D96380" w:rsidP="00D96380">
      <w:pPr>
        <w:rPr>
          <w:rFonts w:ascii="Roboto" w:hAnsi="Roboto" w:cs="Times New Roman"/>
          <w:b/>
          <w:bCs/>
        </w:rPr>
      </w:pPr>
      <w:r w:rsidRPr="00D96380">
        <w:rPr>
          <w:rFonts w:ascii="Roboto" w:hAnsi="Roboto" w:cs="Times New Roman"/>
          <w:b/>
          <w:bCs/>
        </w:rPr>
        <w:t xml:space="preserve"> </w:t>
      </w:r>
    </w:p>
    <w:p w14:paraId="5E3B4A71" w14:textId="0B63DF24" w:rsidR="00641C91" w:rsidRDefault="0097218D" w:rsidP="00641C91">
      <w:pPr>
        <w:jc w:val="center"/>
        <w:rPr>
          <w:rFonts w:ascii="Roboto" w:hAnsi="Roboto"/>
          <w:b/>
          <w:bCs/>
          <w:sz w:val="28"/>
          <w:szCs w:val="28"/>
        </w:rPr>
      </w:pPr>
      <w:r w:rsidRPr="00641C91">
        <w:rPr>
          <w:rFonts w:ascii="Roboto" w:hAnsi="Roboto"/>
          <w:b/>
          <w:bCs/>
          <w:sz w:val="28"/>
          <w:szCs w:val="28"/>
        </w:rPr>
        <w:t xml:space="preserve">Governance and </w:t>
      </w:r>
    </w:p>
    <w:p w14:paraId="29D32E67" w14:textId="3626D91C" w:rsidR="00641C91" w:rsidRDefault="00641C91" w:rsidP="00641C91">
      <w:pPr>
        <w:jc w:val="center"/>
        <w:rPr>
          <w:rFonts w:ascii="Roboto" w:hAnsi="Roboto"/>
          <w:b/>
          <w:bCs/>
          <w:sz w:val="28"/>
          <w:szCs w:val="28"/>
        </w:rPr>
      </w:pPr>
      <w:r>
        <w:rPr>
          <w:rFonts w:ascii="Roboto" w:hAnsi="Roboto"/>
          <w:b/>
          <w:bCs/>
          <w:sz w:val="28"/>
          <w:szCs w:val="28"/>
        </w:rPr>
        <w:t>S</w:t>
      </w:r>
      <w:r w:rsidR="0097218D" w:rsidRPr="00641C91">
        <w:rPr>
          <w:rFonts w:ascii="Roboto" w:hAnsi="Roboto"/>
          <w:b/>
          <w:bCs/>
          <w:sz w:val="28"/>
          <w:szCs w:val="28"/>
        </w:rPr>
        <w:t xml:space="preserve">ustained </w:t>
      </w:r>
    </w:p>
    <w:p w14:paraId="6977EBFA" w14:textId="5DF02397" w:rsidR="00D96380" w:rsidRPr="00641C91" w:rsidRDefault="00641C91" w:rsidP="00641C91">
      <w:pPr>
        <w:jc w:val="center"/>
        <w:rPr>
          <w:rFonts w:ascii="Roboto" w:hAnsi="Roboto"/>
          <w:b/>
          <w:bCs/>
          <w:sz w:val="28"/>
          <w:szCs w:val="28"/>
        </w:rPr>
      </w:pPr>
      <w:r>
        <w:rPr>
          <w:rFonts w:ascii="Roboto" w:hAnsi="Roboto"/>
          <w:b/>
          <w:bCs/>
          <w:sz w:val="28"/>
          <w:szCs w:val="28"/>
        </w:rPr>
        <w:t>C</w:t>
      </w:r>
      <w:r w:rsidR="0097218D" w:rsidRPr="00641C91">
        <w:rPr>
          <w:rFonts w:ascii="Roboto" w:hAnsi="Roboto"/>
          <w:b/>
          <w:bCs/>
          <w:sz w:val="28"/>
          <w:szCs w:val="28"/>
        </w:rPr>
        <w:t xml:space="preserve">ultural </w:t>
      </w:r>
      <w:r>
        <w:rPr>
          <w:rFonts w:ascii="Roboto" w:hAnsi="Roboto"/>
          <w:b/>
          <w:bCs/>
          <w:sz w:val="28"/>
          <w:szCs w:val="28"/>
        </w:rPr>
        <w:t>C</w:t>
      </w:r>
      <w:r w:rsidR="0097218D" w:rsidRPr="00641C91">
        <w:rPr>
          <w:rFonts w:ascii="Roboto" w:hAnsi="Roboto"/>
          <w:b/>
          <w:bCs/>
          <w:sz w:val="28"/>
          <w:szCs w:val="28"/>
        </w:rPr>
        <w:t>hange in Parliaments</w:t>
      </w:r>
    </w:p>
    <w:p w14:paraId="0D9185BE" w14:textId="77777777" w:rsidR="00641C91" w:rsidRPr="00641C91" w:rsidRDefault="00641C91" w:rsidP="00641C91">
      <w:pPr>
        <w:jc w:val="center"/>
        <w:rPr>
          <w:rFonts w:ascii="Roboto" w:hAnsi="Roboto"/>
        </w:rPr>
      </w:pPr>
    </w:p>
    <w:p w14:paraId="569D2BAA" w14:textId="411995B8" w:rsidR="00641C91" w:rsidRPr="00641C91" w:rsidRDefault="00641C91" w:rsidP="00641C91">
      <w:pPr>
        <w:jc w:val="center"/>
        <w:rPr>
          <w:rFonts w:ascii="Roboto" w:hAnsi="Roboto"/>
        </w:rPr>
      </w:pPr>
      <w:r w:rsidRPr="00641C91">
        <w:rPr>
          <w:rFonts w:ascii="Roboto" w:hAnsi="Roboto"/>
        </w:rPr>
        <w:t xml:space="preserve">Draft Paper for the ASPG Conference </w:t>
      </w:r>
    </w:p>
    <w:p w14:paraId="54C462EF" w14:textId="2C761B30" w:rsidR="00641C91" w:rsidRPr="00641C91" w:rsidRDefault="00641C91" w:rsidP="00641C91">
      <w:pPr>
        <w:jc w:val="center"/>
        <w:rPr>
          <w:rFonts w:ascii="Roboto" w:hAnsi="Roboto"/>
        </w:rPr>
      </w:pPr>
      <w:r w:rsidRPr="00641C91">
        <w:rPr>
          <w:rFonts w:ascii="Roboto" w:hAnsi="Roboto"/>
        </w:rPr>
        <w:t xml:space="preserve">Wellington, New Zealand 2 – 4 October 2024 </w:t>
      </w:r>
    </w:p>
    <w:p w14:paraId="25B520A1" w14:textId="77777777" w:rsidR="00641C91" w:rsidRPr="00641C91" w:rsidRDefault="00641C91" w:rsidP="00641C91">
      <w:pPr>
        <w:jc w:val="center"/>
        <w:rPr>
          <w:rFonts w:ascii="Roboto" w:hAnsi="Roboto"/>
        </w:rPr>
      </w:pPr>
    </w:p>
    <w:p w14:paraId="06F22FFD" w14:textId="77777777" w:rsidR="00641C91" w:rsidRPr="00D40314" w:rsidRDefault="00641C91" w:rsidP="00641C91">
      <w:pPr>
        <w:jc w:val="center"/>
        <w:rPr>
          <w:rFonts w:ascii="Roboto" w:hAnsi="Roboto"/>
          <w:sz w:val="20"/>
          <w:szCs w:val="20"/>
        </w:rPr>
      </w:pPr>
    </w:p>
    <w:p w14:paraId="256C7D5E" w14:textId="29FBFF8F" w:rsidR="00641C91" w:rsidRPr="00D40314" w:rsidRDefault="00641C91" w:rsidP="00641C91">
      <w:pPr>
        <w:jc w:val="center"/>
        <w:rPr>
          <w:rFonts w:ascii="Roboto" w:hAnsi="Roboto"/>
          <w:sz w:val="20"/>
          <w:szCs w:val="20"/>
        </w:rPr>
      </w:pPr>
      <w:r w:rsidRPr="00D40314">
        <w:rPr>
          <w:rFonts w:ascii="Roboto" w:hAnsi="Roboto"/>
          <w:sz w:val="20"/>
          <w:szCs w:val="20"/>
        </w:rPr>
        <w:t>Bru</w:t>
      </w:r>
      <w:r w:rsidR="00C10944">
        <w:rPr>
          <w:rFonts w:ascii="Roboto" w:hAnsi="Roboto"/>
          <w:sz w:val="20"/>
          <w:szCs w:val="20"/>
        </w:rPr>
        <w:t>c</w:t>
      </w:r>
      <w:r w:rsidRPr="00D40314">
        <w:rPr>
          <w:rFonts w:ascii="Roboto" w:hAnsi="Roboto"/>
          <w:sz w:val="20"/>
          <w:szCs w:val="20"/>
        </w:rPr>
        <w:t xml:space="preserve">e Pope </w:t>
      </w:r>
    </w:p>
    <w:p w14:paraId="2EB9A6F0" w14:textId="61BB6752" w:rsidR="00641C91" w:rsidRPr="00D40314" w:rsidRDefault="00641C91" w:rsidP="00641C91">
      <w:pPr>
        <w:jc w:val="center"/>
        <w:rPr>
          <w:rFonts w:ascii="Roboto" w:hAnsi="Roboto"/>
          <w:sz w:val="20"/>
          <w:szCs w:val="20"/>
        </w:rPr>
      </w:pPr>
      <w:r w:rsidRPr="00D40314">
        <w:rPr>
          <w:rFonts w:ascii="Roboto" w:hAnsi="Roboto"/>
          <w:sz w:val="20"/>
          <w:szCs w:val="20"/>
        </w:rPr>
        <w:t>Keira Sm</w:t>
      </w:r>
      <w:r w:rsidR="00821EA8">
        <w:rPr>
          <w:rFonts w:ascii="Roboto" w:hAnsi="Roboto"/>
          <w:sz w:val="20"/>
          <w:szCs w:val="20"/>
        </w:rPr>
        <w:t>al</w:t>
      </w:r>
      <w:r w:rsidRPr="00D40314">
        <w:rPr>
          <w:rFonts w:ascii="Roboto" w:hAnsi="Roboto"/>
          <w:sz w:val="20"/>
          <w:szCs w:val="20"/>
        </w:rPr>
        <w:t>ley</w:t>
      </w:r>
    </w:p>
    <w:p w14:paraId="46F16C19" w14:textId="342974CC" w:rsidR="00641C91" w:rsidRPr="00D40314" w:rsidRDefault="00641C91" w:rsidP="00641C91">
      <w:pPr>
        <w:jc w:val="center"/>
        <w:rPr>
          <w:rFonts w:ascii="Roboto" w:hAnsi="Roboto"/>
          <w:sz w:val="20"/>
          <w:szCs w:val="20"/>
        </w:rPr>
      </w:pPr>
      <w:r w:rsidRPr="00D40314">
        <w:rPr>
          <w:rFonts w:ascii="Roboto" w:hAnsi="Roboto"/>
          <w:sz w:val="20"/>
          <w:szCs w:val="20"/>
        </w:rPr>
        <w:t xml:space="preserve">Department of Parliamentary Services </w:t>
      </w:r>
    </w:p>
    <w:p w14:paraId="2995C7DB" w14:textId="292D616A" w:rsidR="00641C91" w:rsidRPr="00D40314" w:rsidRDefault="00641C91" w:rsidP="00641C91">
      <w:pPr>
        <w:jc w:val="center"/>
        <w:rPr>
          <w:rFonts w:ascii="Roboto" w:hAnsi="Roboto"/>
          <w:sz w:val="20"/>
          <w:szCs w:val="20"/>
        </w:rPr>
      </w:pPr>
      <w:r w:rsidRPr="00D40314">
        <w:rPr>
          <w:rFonts w:ascii="Roboto" w:hAnsi="Roboto"/>
          <w:sz w:val="20"/>
          <w:szCs w:val="20"/>
        </w:rPr>
        <w:t xml:space="preserve">Parliament of NSW  </w:t>
      </w:r>
    </w:p>
    <w:p w14:paraId="0A29EB91" w14:textId="77777777" w:rsidR="00641C91" w:rsidRPr="00D96380" w:rsidRDefault="00641C91" w:rsidP="00D96380">
      <w:pPr>
        <w:rPr>
          <w:rFonts w:ascii="Roboto" w:hAnsi="Roboto" w:cs="Times New Roman"/>
          <w:b/>
          <w:bCs/>
        </w:rPr>
      </w:pPr>
    </w:p>
    <w:p w14:paraId="50C661B9" w14:textId="77777777" w:rsidR="00641C91" w:rsidRDefault="00641C91" w:rsidP="00D96380">
      <w:pPr>
        <w:rPr>
          <w:rFonts w:ascii="Roboto" w:hAnsi="Roboto" w:cs="Times New Roman"/>
          <w:b/>
          <w:bCs/>
        </w:rPr>
      </w:pPr>
    </w:p>
    <w:p w14:paraId="38A4D739" w14:textId="2701C9B2" w:rsidR="00D96380" w:rsidRPr="00D96380" w:rsidRDefault="00D96380" w:rsidP="00D96380">
      <w:pPr>
        <w:rPr>
          <w:rFonts w:ascii="Roboto" w:hAnsi="Roboto" w:cs="Times New Roman"/>
          <w:b/>
          <w:bCs/>
        </w:rPr>
      </w:pPr>
      <w:r w:rsidRPr="00D96380">
        <w:rPr>
          <w:rFonts w:ascii="Roboto" w:hAnsi="Roboto" w:cs="Times New Roman"/>
          <w:b/>
          <w:bCs/>
        </w:rPr>
        <w:t>Introduction</w:t>
      </w:r>
    </w:p>
    <w:p w14:paraId="26E173C9" w14:textId="77777777" w:rsidR="00D96380" w:rsidRPr="00D96380" w:rsidRDefault="00D96380" w:rsidP="00D96380">
      <w:pPr>
        <w:rPr>
          <w:rFonts w:ascii="Roboto" w:hAnsi="Roboto" w:cs="Times New Roman"/>
        </w:rPr>
      </w:pPr>
    </w:p>
    <w:p w14:paraId="70966A94" w14:textId="73A6B7FF" w:rsidR="0006548D" w:rsidRDefault="00D96380" w:rsidP="00D96380">
      <w:pPr>
        <w:rPr>
          <w:rFonts w:ascii="Roboto" w:hAnsi="Roboto" w:cs="Times New Roman"/>
        </w:rPr>
      </w:pPr>
      <w:r w:rsidRPr="00D96380">
        <w:rPr>
          <w:rFonts w:ascii="Roboto" w:hAnsi="Roboto" w:cs="Times New Roman"/>
        </w:rPr>
        <w:t>Parliamentary institutions are</w:t>
      </w:r>
      <w:r w:rsidR="00B92CF7">
        <w:rPr>
          <w:rFonts w:ascii="Roboto" w:hAnsi="Roboto" w:cs="Times New Roman"/>
        </w:rPr>
        <w:t xml:space="preserve"> often considered</w:t>
      </w:r>
      <w:r w:rsidRPr="00D96380">
        <w:rPr>
          <w:rFonts w:ascii="Roboto" w:hAnsi="Roboto" w:cs="Times New Roman"/>
        </w:rPr>
        <w:t xml:space="preserve"> the cornerstone of </w:t>
      </w:r>
      <w:r w:rsidR="002F2BED">
        <w:rPr>
          <w:rFonts w:ascii="Roboto" w:hAnsi="Roboto" w:cs="Times New Roman"/>
        </w:rPr>
        <w:t>modern democracies</w:t>
      </w:r>
      <w:r w:rsidRPr="00D96380">
        <w:rPr>
          <w:rFonts w:ascii="Roboto" w:hAnsi="Roboto" w:cs="Times New Roman"/>
        </w:rPr>
        <w:t xml:space="preserve">, responsible for enacting laws, representing citizens, and holding the </w:t>
      </w:r>
      <w:r w:rsidR="00F10151">
        <w:rPr>
          <w:rFonts w:ascii="Roboto" w:hAnsi="Roboto" w:cs="Times New Roman"/>
        </w:rPr>
        <w:t xml:space="preserve">executive </w:t>
      </w:r>
      <w:r w:rsidRPr="00D96380">
        <w:rPr>
          <w:rFonts w:ascii="Roboto" w:hAnsi="Roboto" w:cs="Times New Roman"/>
        </w:rPr>
        <w:t>government accountable.</w:t>
      </w:r>
      <w:r w:rsidRPr="00D96380">
        <w:rPr>
          <w:rStyle w:val="FootnoteReference"/>
          <w:rFonts w:ascii="Roboto" w:hAnsi="Roboto" w:cs="Times New Roman"/>
        </w:rPr>
        <w:footnoteReference w:id="1"/>
      </w:r>
      <w:r w:rsidRPr="00D96380">
        <w:rPr>
          <w:rFonts w:ascii="Roboto" w:hAnsi="Roboto" w:cs="Times New Roman"/>
        </w:rPr>
        <w:t xml:space="preserve"> This unique societal role</w:t>
      </w:r>
      <w:r w:rsidR="002F2BED">
        <w:rPr>
          <w:rFonts w:ascii="Roboto" w:hAnsi="Roboto" w:cs="Times New Roman"/>
        </w:rPr>
        <w:t xml:space="preserve"> m</w:t>
      </w:r>
      <w:r w:rsidR="0036753E">
        <w:rPr>
          <w:rFonts w:ascii="Roboto" w:hAnsi="Roboto" w:cs="Times New Roman"/>
        </w:rPr>
        <w:t>ay</w:t>
      </w:r>
      <w:r w:rsidR="002F2BED">
        <w:rPr>
          <w:rFonts w:ascii="Roboto" w:hAnsi="Roboto" w:cs="Times New Roman"/>
        </w:rPr>
        <w:t xml:space="preserve"> suggest a need for </w:t>
      </w:r>
      <w:r w:rsidRPr="00D96380">
        <w:rPr>
          <w:rFonts w:ascii="Roboto" w:hAnsi="Roboto" w:cs="Times New Roman"/>
        </w:rPr>
        <w:t xml:space="preserve">a particularly high standard of </w:t>
      </w:r>
      <w:r w:rsidR="002F2BED">
        <w:rPr>
          <w:rFonts w:ascii="Roboto" w:hAnsi="Roboto" w:cs="Times New Roman"/>
        </w:rPr>
        <w:t xml:space="preserve">professional and ethical behaviour. </w:t>
      </w:r>
      <w:r w:rsidR="00227A80">
        <w:rPr>
          <w:rFonts w:ascii="Roboto" w:hAnsi="Roboto" w:cs="Times New Roman"/>
        </w:rPr>
        <w:t>P</w:t>
      </w:r>
      <w:r w:rsidRPr="00D96380">
        <w:rPr>
          <w:rFonts w:ascii="Roboto" w:hAnsi="Roboto" w:cs="Times New Roman"/>
        </w:rPr>
        <w:t xml:space="preserve">arliaments have both the public visibility and the potential influence to act as </w:t>
      </w:r>
      <w:r w:rsidR="0006548D">
        <w:rPr>
          <w:rFonts w:ascii="Roboto" w:hAnsi="Roboto" w:cs="Times New Roman"/>
        </w:rPr>
        <w:t xml:space="preserve">a </w:t>
      </w:r>
      <w:r w:rsidRPr="00D96380">
        <w:rPr>
          <w:rFonts w:ascii="Roboto" w:hAnsi="Roboto" w:cs="Times New Roman"/>
        </w:rPr>
        <w:t>benchmark on matters of safety, inclusion and respect in the workplace</w:t>
      </w:r>
      <w:r w:rsidR="002F2BED">
        <w:rPr>
          <w:rFonts w:ascii="Roboto" w:hAnsi="Roboto" w:cs="Times New Roman"/>
        </w:rPr>
        <w:t xml:space="preserve"> and the </w:t>
      </w:r>
      <w:r w:rsidR="0036753E">
        <w:rPr>
          <w:rFonts w:ascii="Roboto" w:hAnsi="Roboto" w:cs="Times New Roman"/>
        </w:rPr>
        <w:t xml:space="preserve">broader </w:t>
      </w:r>
      <w:r w:rsidR="002F2BED">
        <w:rPr>
          <w:rFonts w:ascii="Roboto" w:hAnsi="Roboto" w:cs="Times New Roman"/>
        </w:rPr>
        <w:t>community</w:t>
      </w:r>
      <w:r w:rsidR="00227A80">
        <w:rPr>
          <w:rFonts w:ascii="Roboto" w:hAnsi="Roboto" w:cs="Times New Roman"/>
        </w:rPr>
        <w:t xml:space="preserve">. Unfortunately, </w:t>
      </w:r>
      <w:r w:rsidR="0006548D">
        <w:rPr>
          <w:rFonts w:ascii="Roboto" w:hAnsi="Roboto" w:cs="Times New Roman"/>
        </w:rPr>
        <w:t>such</w:t>
      </w:r>
      <w:r w:rsidR="002F2BED">
        <w:rPr>
          <w:rFonts w:ascii="Roboto" w:hAnsi="Roboto" w:cs="Times New Roman"/>
        </w:rPr>
        <w:t xml:space="preserve"> </w:t>
      </w:r>
      <w:r w:rsidR="00227A80">
        <w:rPr>
          <w:rFonts w:ascii="Roboto" w:hAnsi="Roboto" w:cs="Times New Roman"/>
        </w:rPr>
        <w:t>a</w:t>
      </w:r>
      <w:r w:rsidR="002F2BED">
        <w:rPr>
          <w:rFonts w:ascii="Roboto" w:hAnsi="Roboto" w:cs="Times New Roman"/>
        </w:rPr>
        <w:t xml:space="preserve"> high standard of behaviour has not always been maintained</w:t>
      </w:r>
      <w:r w:rsidR="00227A80">
        <w:rPr>
          <w:rFonts w:ascii="Roboto" w:hAnsi="Roboto" w:cs="Times New Roman"/>
        </w:rPr>
        <w:t xml:space="preserve"> in parliamentary environments</w:t>
      </w:r>
      <w:r w:rsidR="002F2BED">
        <w:rPr>
          <w:rFonts w:ascii="Roboto" w:hAnsi="Roboto" w:cs="Times New Roman"/>
        </w:rPr>
        <w:t xml:space="preserve">.  </w:t>
      </w:r>
      <w:r w:rsidRPr="00D96380">
        <w:rPr>
          <w:rFonts w:ascii="Roboto" w:hAnsi="Roboto" w:cs="Times New Roman"/>
        </w:rPr>
        <w:t>The number of parliaments both in Australia and overseas that have been the subject of reviews examining the prevalence of bullying and sexual harassment demonstrate</w:t>
      </w:r>
      <w:r w:rsidR="002F2BED">
        <w:rPr>
          <w:rFonts w:ascii="Roboto" w:hAnsi="Roboto" w:cs="Times New Roman"/>
        </w:rPr>
        <w:t>s this</w:t>
      </w:r>
      <w:r w:rsidRPr="00D96380">
        <w:rPr>
          <w:rFonts w:ascii="Roboto" w:hAnsi="Roboto" w:cs="Times New Roman"/>
        </w:rPr>
        <w:t>.</w:t>
      </w:r>
      <w:r w:rsidR="0006548D">
        <w:rPr>
          <w:rStyle w:val="FootnoteReference"/>
          <w:rFonts w:ascii="Roboto" w:hAnsi="Roboto" w:cs="Times New Roman"/>
        </w:rPr>
        <w:footnoteReference w:id="2"/>
      </w:r>
      <w:r w:rsidRPr="00D96380">
        <w:rPr>
          <w:rFonts w:ascii="Roboto" w:hAnsi="Roboto" w:cs="Times New Roman"/>
        </w:rPr>
        <w:t xml:space="preserve"> </w:t>
      </w:r>
    </w:p>
    <w:p w14:paraId="379553C1" w14:textId="77777777" w:rsidR="0006548D" w:rsidRDefault="0006548D" w:rsidP="00D96380">
      <w:pPr>
        <w:rPr>
          <w:rFonts w:ascii="Roboto" w:hAnsi="Roboto" w:cs="Times New Roman"/>
        </w:rPr>
      </w:pPr>
    </w:p>
    <w:p w14:paraId="69448C93" w14:textId="211582E9" w:rsidR="00AA5EA9" w:rsidRDefault="00D96380" w:rsidP="00D96380">
      <w:pPr>
        <w:rPr>
          <w:rFonts w:ascii="Roboto" w:hAnsi="Roboto" w:cs="Times New Roman"/>
        </w:rPr>
      </w:pPr>
      <w:r w:rsidRPr="00D96380">
        <w:rPr>
          <w:rFonts w:ascii="Roboto" w:hAnsi="Roboto" w:cs="Times New Roman"/>
        </w:rPr>
        <w:t>The need for organisations to effect cultural change is not new, and the interventions required to effectively address unwanted behaviours, whether it is unsafe work practices, bullying, harassment, or discrimination, are relatively well established and consistent across sectors and industries.</w:t>
      </w:r>
      <w:r w:rsidRPr="00D96380">
        <w:rPr>
          <w:rStyle w:val="FootnoteReference"/>
          <w:rFonts w:ascii="Roboto" w:hAnsi="Roboto" w:cs="Times New Roman"/>
        </w:rPr>
        <w:footnoteReference w:id="3"/>
      </w:r>
      <w:r w:rsidRPr="00D96380">
        <w:rPr>
          <w:rFonts w:ascii="Roboto" w:hAnsi="Roboto" w:cs="Times New Roman"/>
        </w:rPr>
        <w:t xml:space="preserve"> Usually, interventions will include some or all of the following areas: policy, leadership and culture, training, reporting, complaints and investigations, monitoring, and supports.</w:t>
      </w:r>
      <w:r w:rsidRPr="00D96380">
        <w:rPr>
          <w:rStyle w:val="FootnoteReference"/>
          <w:rFonts w:ascii="Roboto" w:hAnsi="Roboto" w:cs="Times New Roman"/>
        </w:rPr>
        <w:footnoteReference w:id="4"/>
      </w:r>
      <w:r w:rsidR="002F2BED">
        <w:rPr>
          <w:rFonts w:ascii="Roboto" w:hAnsi="Roboto" w:cs="Times New Roman"/>
        </w:rPr>
        <w:t xml:space="preserve"> However a</w:t>
      </w:r>
      <w:r w:rsidR="00AA5EA9">
        <w:rPr>
          <w:rFonts w:ascii="Roboto" w:hAnsi="Roboto" w:cs="Times New Roman"/>
        </w:rPr>
        <w:t>ddressing th</w:t>
      </w:r>
      <w:r w:rsidRPr="00D96380">
        <w:rPr>
          <w:rFonts w:ascii="Roboto" w:hAnsi="Roboto" w:cs="Times New Roman"/>
        </w:rPr>
        <w:t>e challenges of implementing such changes within the parliamentary setting</w:t>
      </w:r>
      <w:r w:rsidR="002F2BED">
        <w:rPr>
          <w:rFonts w:ascii="Roboto" w:hAnsi="Roboto" w:cs="Times New Roman"/>
        </w:rPr>
        <w:t xml:space="preserve"> </w:t>
      </w:r>
      <w:r w:rsidRPr="00D96380">
        <w:rPr>
          <w:rFonts w:ascii="Roboto" w:hAnsi="Roboto" w:cs="Times New Roman"/>
        </w:rPr>
        <w:t xml:space="preserve">requires </w:t>
      </w:r>
      <w:r w:rsidRPr="00AA5EA9">
        <w:rPr>
          <w:rFonts w:ascii="Roboto" w:hAnsi="Roboto" w:cs="Times New Roman"/>
        </w:rPr>
        <w:t xml:space="preserve">attention to the </w:t>
      </w:r>
      <w:r w:rsidR="00AA5EA9" w:rsidRPr="00AA5EA9">
        <w:rPr>
          <w:rFonts w:ascii="Roboto" w:hAnsi="Roboto" w:cs="Times New Roman"/>
        </w:rPr>
        <w:t>unique nature of these workplaces</w:t>
      </w:r>
      <w:r w:rsidR="002F2BED">
        <w:rPr>
          <w:rFonts w:ascii="Roboto" w:hAnsi="Roboto" w:cs="Times New Roman"/>
        </w:rPr>
        <w:t xml:space="preserve">. </w:t>
      </w:r>
      <w:r w:rsidR="006E30E7">
        <w:rPr>
          <w:rFonts w:ascii="Roboto" w:hAnsi="Roboto" w:cs="Times New Roman"/>
        </w:rPr>
        <w:t xml:space="preserve">This paper </w:t>
      </w:r>
      <w:r w:rsidR="002F2BED">
        <w:rPr>
          <w:rFonts w:ascii="Roboto" w:hAnsi="Roboto" w:cs="Times New Roman"/>
        </w:rPr>
        <w:t>considers</w:t>
      </w:r>
      <w:r w:rsidR="006E30E7">
        <w:rPr>
          <w:rFonts w:ascii="Roboto" w:hAnsi="Roboto" w:cs="Times New Roman"/>
        </w:rPr>
        <w:t xml:space="preserve"> the critical role of </w:t>
      </w:r>
      <w:r w:rsidR="00923820" w:rsidRPr="00D96380">
        <w:rPr>
          <w:rFonts w:ascii="Roboto" w:hAnsi="Roboto" w:cs="Times New Roman"/>
        </w:rPr>
        <w:t>integrating human</w:t>
      </w:r>
      <w:r w:rsidR="00822FFE">
        <w:rPr>
          <w:rFonts w:ascii="Roboto" w:hAnsi="Roboto" w:cs="Times New Roman"/>
        </w:rPr>
        <w:t xml:space="preserve"> related</w:t>
      </w:r>
      <w:r w:rsidR="00923820" w:rsidRPr="00D96380">
        <w:rPr>
          <w:rFonts w:ascii="Roboto" w:hAnsi="Roboto" w:cs="Times New Roman"/>
        </w:rPr>
        <w:t xml:space="preserve"> risk</w:t>
      </w:r>
      <w:r w:rsidR="00726DB5">
        <w:rPr>
          <w:rFonts w:ascii="Roboto" w:hAnsi="Roboto" w:cs="Times New Roman"/>
        </w:rPr>
        <w:t>,</w:t>
      </w:r>
      <w:r w:rsidR="00923820" w:rsidRPr="00D96380">
        <w:rPr>
          <w:rFonts w:ascii="Roboto" w:hAnsi="Roboto" w:cs="Times New Roman"/>
        </w:rPr>
        <w:t xml:space="preserve"> </w:t>
      </w:r>
      <w:r w:rsidR="00726DB5">
        <w:rPr>
          <w:rFonts w:ascii="Roboto" w:hAnsi="Roboto" w:cs="Times New Roman"/>
        </w:rPr>
        <w:t xml:space="preserve">through a lens of inclusion and diversity, </w:t>
      </w:r>
      <w:r w:rsidR="00923820" w:rsidRPr="00D96380">
        <w:rPr>
          <w:rFonts w:ascii="Roboto" w:hAnsi="Roboto" w:cs="Times New Roman"/>
        </w:rPr>
        <w:t xml:space="preserve">into </w:t>
      </w:r>
      <w:r w:rsidR="0093255A">
        <w:rPr>
          <w:rFonts w:ascii="Roboto" w:hAnsi="Roboto" w:cs="Times New Roman"/>
        </w:rPr>
        <w:t xml:space="preserve">established </w:t>
      </w:r>
      <w:r w:rsidR="00923820" w:rsidRPr="00D96380">
        <w:rPr>
          <w:rFonts w:ascii="Roboto" w:hAnsi="Roboto" w:cs="Times New Roman"/>
        </w:rPr>
        <w:t>governance frameworks</w:t>
      </w:r>
      <w:r w:rsidR="00923820">
        <w:rPr>
          <w:rFonts w:ascii="Roboto" w:hAnsi="Roboto" w:cs="Times New Roman"/>
        </w:rPr>
        <w:t xml:space="preserve"> </w:t>
      </w:r>
      <w:r w:rsidR="00262EB7">
        <w:rPr>
          <w:rFonts w:ascii="Roboto" w:hAnsi="Roboto" w:cs="Times New Roman"/>
        </w:rPr>
        <w:t>within parliaments</w:t>
      </w:r>
      <w:r w:rsidR="0070173E">
        <w:rPr>
          <w:rFonts w:ascii="Roboto" w:hAnsi="Roboto" w:cs="Times New Roman"/>
        </w:rPr>
        <w:t xml:space="preserve"> </w:t>
      </w:r>
      <w:r w:rsidR="00825CAB">
        <w:rPr>
          <w:rFonts w:ascii="Roboto" w:hAnsi="Roboto" w:cs="Times New Roman"/>
        </w:rPr>
        <w:t>to</w:t>
      </w:r>
      <w:r w:rsidR="0070173E">
        <w:rPr>
          <w:rFonts w:ascii="Roboto" w:hAnsi="Roboto" w:cs="Times New Roman"/>
        </w:rPr>
        <w:t xml:space="preserve"> </w:t>
      </w:r>
      <w:r w:rsidR="002F2BED">
        <w:rPr>
          <w:rFonts w:ascii="Roboto" w:hAnsi="Roboto" w:cs="Times New Roman"/>
        </w:rPr>
        <w:t>support</w:t>
      </w:r>
      <w:r w:rsidR="000E0E6C">
        <w:rPr>
          <w:rFonts w:ascii="Roboto" w:hAnsi="Roboto" w:cs="Times New Roman"/>
        </w:rPr>
        <w:t xml:space="preserve"> enduring</w:t>
      </w:r>
      <w:r w:rsidR="002F2BED">
        <w:rPr>
          <w:rFonts w:ascii="Roboto" w:hAnsi="Roboto" w:cs="Times New Roman"/>
        </w:rPr>
        <w:t xml:space="preserve"> positive change</w:t>
      </w:r>
      <w:r w:rsidR="00FA0D1D">
        <w:rPr>
          <w:rFonts w:ascii="Roboto" w:hAnsi="Roboto" w:cs="Times New Roman"/>
        </w:rPr>
        <w:t xml:space="preserve">. </w:t>
      </w:r>
    </w:p>
    <w:p w14:paraId="2778FF98" w14:textId="77777777" w:rsidR="00FC36D7" w:rsidRDefault="00FC36D7" w:rsidP="00CE51A5">
      <w:pPr>
        <w:rPr>
          <w:rFonts w:ascii="Roboto" w:hAnsi="Roboto" w:cs="Times New Roman"/>
        </w:rPr>
      </w:pPr>
    </w:p>
    <w:p w14:paraId="1291F5F3" w14:textId="66F6DC94" w:rsidR="00CE51A5" w:rsidRDefault="00D96380" w:rsidP="00CE51A5">
      <w:r w:rsidRPr="00D96380">
        <w:rPr>
          <w:rFonts w:ascii="Roboto" w:hAnsi="Roboto" w:cs="Times New Roman"/>
        </w:rPr>
        <w:t>Parliamentary workplaces are often characterised by high-stress environments, power imbalances, and deeply ingrained cultural norms that can lead to bullying, harassment, and burnout.</w:t>
      </w:r>
      <w:r w:rsidRPr="00D96380">
        <w:rPr>
          <w:rStyle w:val="FootnoteReference"/>
          <w:rFonts w:ascii="Roboto" w:hAnsi="Roboto" w:cs="Times New Roman"/>
        </w:rPr>
        <w:footnoteReference w:id="5"/>
      </w:r>
      <w:r w:rsidRPr="00D96380">
        <w:rPr>
          <w:rFonts w:ascii="Roboto" w:hAnsi="Roboto" w:cs="Times New Roman"/>
        </w:rPr>
        <w:t xml:space="preserve"> These are institutions founded and maintained upon the concept of strong </w:t>
      </w:r>
      <w:r w:rsidR="00B4465E">
        <w:rPr>
          <w:rFonts w:ascii="Roboto" w:hAnsi="Roboto" w:cs="Times New Roman"/>
        </w:rPr>
        <w:t>debate</w:t>
      </w:r>
      <w:r w:rsidRPr="00D96380">
        <w:rPr>
          <w:rFonts w:ascii="Roboto" w:hAnsi="Roboto" w:cs="Times New Roman"/>
        </w:rPr>
        <w:t>, where conflict and opposition are baked-in modes of engagement.</w:t>
      </w:r>
      <w:r w:rsidRPr="00D96380">
        <w:rPr>
          <w:rStyle w:val="FootnoteReference"/>
          <w:rFonts w:ascii="Roboto" w:hAnsi="Roboto" w:cs="Times New Roman"/>
        </w:rPr>
        <w:footnoteReference w:id="6"/>
      </w:r>
      <w:r w:rsidRPr="00D96380">
        <w:rPr>
          <w:rFonts w:ascii="Roboto" w:hAnsi="Roboto" w:cs="Times New Roman"/>
        </w:rPr>
        <w:t xml:space="preserve"> </w:t>
      </w:r>
    </w:p>
    <w:p w14:paraId="60B83E3D" w14:textId="77777777" w:rsidR="00DC7C4B" w:rsidRDefault="00DC7C4B" w:rsidP="00CE51A5"/>
    <w:p w14:paraId="72E40F5A" w14:textId="2CE1AF82" w:rsidR="00DC7C4B" w:rsidRDefault="00DC7C4B" w:rsidP="00CE51A5">
      <w:bookmarkStart w:id="0" w:name="_Hlk178323579"/>
      <w:r w:rsidRPr="00DC7C4B">
        <w:rPr>
          <w:rFonts w:ascii="Roboto" w:hAnsi="Roboto" w:cs="Times New Roman"/>
        </w:rPr>
        <w:lastRenderedPageBreak/>
        <w:t xml:space="preserve">Discussions about the challenges in changing parliamentary culture often cite parliamentary privilege as a major obstacle to reform. However, it is important to recognise that parliamentary privilege is limited to the words spoken in debate within the chambers and the procedures and reports of parliamentary committees. While it may be argued that </w:t>
      </w:r>
      <w:r w:rsidR="00E247A1">
        <w:rPr>
          <w:rFonts w:ascii="Roboto" w:hAnsi="Roboto" w:cs="Times New Roman"/>
        </w:rPr>
        <w:t>speeches</w:t>
      </w:r>
      <w:r w:rsidRPr="00DC7C4B">
        <w:rPr>
          <w:rFonts w:ascii="Roboto" w:hAnsi="Roboto" w:cs="Times New Roman"/>
        </w:rPr>
        <w:t xml:space="preserve"> in the chambers ha</w:t>
      </w:r>
      <w:r w:rsidR="0069166B">
        <w:rPr>
          <w:rFonts w:ascii="Roboto" w:hAnsi="Roboto" w:cs="Times New Roman"/>
        </w:rPr>
        <w:t>ve</w:t>
      </w:r>
      <w:r w:rsidRPr="00DC7C4B">
        <w:rPr>
          <w:rFonts w:ascii="Roboto" w:hAnsi="Roboto" w:cs="Times New Roman"/>
        </w:rPr>
        <w:t xml:space="preserve"> some impact on the broader parliamentary culture</w:t>
      </w:r>
      <w:r w:rsidR="0069166B">
        <w:rPr>
          <w:rFonts w:ascii="Roboto" w:hAnsi="Roboto" w:cs="Times New Roman"/>
        </w:rPr>
        <w:t xml:space="preserve"> outside</w:t>
      </w:r>
      <w:r w:rsidRPr="00DC7C4B">
        <w:rPr>
          <w:rFonts w:ascii="Roboto" w:hAnsi="Roboto" w:cs="Times New Roman"/>
        </w:rPr>
        <w:t>, understanding the narrow scope of parliamentary privilege is crucial.  Clear distinctions about its limits are essential for interventions aimed at promoting positive cultural change across the parliamentary community to be effective.</w:t>
      </w:r>
    </w:p>
    <w:bookmarkEnd w:id="0"/>
    <w:p w14:paraId="678D4680" w14:textId="77777777" w:rsidR="00CE51A5" w:rsidRDefault="00CE51A5" w:rsidP="00CE51A5"/>
    <w:p w14:paraId="0702FADF" w14:textId="3A263CEC" w:rsidR="0093255A" w:rsidRPr="0093255A" w:rsidRDefault="00C31863">
      <w:pPr>
        <w:rPr>
          <w:rFonts w:ascii="Roboto" w:hAnsi="Roboto" w:cs="Times New Roman"/>
        </w:rPr>
      </w:pPr>
      <w:r>
        <w:rPr>
          <w:rFonts w:ascii="Roboto" w:hAnsi="Roboto" w:cs="Times New Roman"/>
        </w:rPr>
        <w:t>Some have</w:t>
      </w:r>
      <w:r w:rsidRPr="004942E9">
        <w:rPr>
          <w:rFonts w:ascii="Roboto" w:hAnsi="Roboto" w:cs="Times New Roman"/>
        </w:rPr>
        <w:t xml:space="preserve"> expressed </w:t>
      </w:r>
      <w:r>
        <w:rPr>
          <w:rFonts w:ascii="Roboto" w:hAnsi="Roboto" w:cs="Times New Roman"/>
        </w:rPr>
        <w:t>a view</w:t>
      </w:r>
      <w:r w:rsidRPr="004942E9">
        <w:rPr>
          <w:rFonts w:ascii="Roboto" w:hAnsi="Roboto" w:cs="Times New Roman"/>
        </w:rPr>
        <w:t xml:space="preserve"> that the best regulation for member</w:t>
      </w:r>
      <w:r w:rsidR="00AE64DA">
        <w:rPr>
          <w:rFonts w:ascii="Roboto" w:hAnsi="Roboto" w:cs="Times New Roman"/>
        </w:rPr>
        <w:t>’</w:t>
      </w:r>
      <w:r w:rsidRPr="004942E9">
        <w:rPr>
          <w:rFonts w:ascii="Roboto" w:hAnsi="Roboto" w:cs="Times New Roman"/>
        </w:rPr>
        <w:t>s conduct is the</w:t>
      </w:r>
      <w:r w:rsidR="00764EA9">
        <w:rPr>
          <w:rFonts w:ascii="Roboto" w:hAnsi="Roboto" w:cs="Times New Roman"/>
        </w:rPr>
        <w:t xml:space="preserve"> democratic requirement for</w:t>
      </w:r>
      <w:r w:rsidRPr="004942E9">
        <w:rPr>
          <w:rFonts w:ascii="Roboto" w:hAnsi="Roboto" w:cs="Times New Roman"/>
        </w:rPr>
        <w:t xml:space="preserve"> regular, free and fair elections</w:t>
      </w:r>
      <w:r>
        <w:rPr>
          <w:rFonts w:ascii="Roboto" w:hAnsi="Roboto" w:cs="Times New Roman"/>
        </w:rPr>
        <w:t xml:space="preserve"> </w:t>
      </w:r>
      <w:r w:rsidRPr="004942E9">
        <w:rPr>
          <w:rFonts w:ascii="Roboto" w:hAnsi="Roboto" w:cs="Times New Roman"/>
        </w:rPr>
        <w:t>placing the onus for scrutinising member</w:t>
      </w:r>
      <w:r w:rsidR="00AE64DA">
        <w:rPr>
          <w:rFonts w:ascii="Roboto" w:hAnsi="Roboto" w:cs="Times New Roman"/>
        </w:rPr>
        <w:t>’</w:t>
      </w:r>
      <w:r w:rsidRPr="004942E9">
        <w:rPr>
          <w:rFonts w:ascii="Roboto" w:hAnsi="Roboto" w:cs="Times New Roman"/>
        </w:rPr>
        <w:t>s behaviour on</w:t>
      </w:r>
      <w:r w:rsidR="00A257CA">
        <w:rPr>
          <w:rFonts w:ascii="Roboto" w:hAnsi="Roboto" w:cs="Times New Roman"/>
        </w:rPr>
        <w:t>to</w:t>
      </w:r>
      <w:r w:rsidRPr="004942E9">
        <w:rPr>
          <w:rFonts w:ascii="Roboto" w:hAnsi="Roboto" w:cs="Times New Roman"/>
        </w:rPr>
        <w:t xml:space="preserve"> the voting public.</w:t>
      </w:r>
      <w:r w:rsidRPr="004942E9">
        <w:rPr>
          <w:rStyle w:val="FootnoteReference"/>
          <w:rFonts w:ascii="Roboto" w:hAnsi="Roboto" w:cs="Times New Roman"/>
        </w:rPr>
        <w:footnoteReference w:id="7"/>
      </w:r>
      <w:r w:rsidR="00764EA9">
        <w:rPr>
          <w:rFonts w:ascii="Roboto" w:hAnsi="Roboto" w:cs="Times New Roman"/>
        </w:rPr>
        <w:t xml:space="preserve"> </w:t>
      </w:r>
      <w:r w:rsidR="00221753">
        <w:rPr>
          <w:rFonts w:ascii="Roboto" w:hAnsi="Roboto" w:cs="Times New Roman"/>
        </w:rPr>
        <w:t>It is true that p</w:t>
      </w:r>
      <w:r w:rsidR="00782AF6">
        <w:rPr>
          <w:rFonts w:ascii="Roboto" w:hAnsi="Roboto" w:cs="Times New Roman"/>
        </w:rPr>
        <w:t>arliament</w:t>
      </w:r>
      <w:r w:rsidR="00221753">
        <w:rPr>
          <w:rFonts w:ascii="Roboto" w:hAnsi="Roboto" w:cs="Times New Roman"/>
        </w:rPr>
        <w:t>ary</w:t>
      </w:r>
      <w:r w:rsidR="00782AF6">
        <w:rPr>
          <w:rFonts w:ascii="Roboto" w:hAnsi="Roboto" w:cs="Times New Roman"/>
        </w:rPr>
        <w:t xml:space="preserve"> </w:t>
      </w:r>
      <w:r w:rsidR="001F0488">
        <w:rPr>
          <w:rFonts w:ascii="Roboto" w:hAnsi="Roboto" w:cs="Times New Roman"/>
        </w:rPr>
        <w:t xml:space="preserve">administration has limited </w:t>
      </w:r>
      <w:r w:rsidR="00B92312">
        <w:rPr>
          <w:rFonts w:ascii="Roboto" w:hAnsi="Roboto" w:cs="Times New Roman"/>
        </w:rPr>
        <w:t>authority over member</w:t>
      </w:r>
      <w:r w:rsidR="00A257CA">
        <w:rPr>
          <w:rFonts w:ascii="Roboto" w:hAnsi="Roboto" w:cs="Times New Roman"/>
        </w:rPr>
        <w:t>s,</w:t>
      </w:r>
      <w:r w:rsidR="00B92312">
        <w:rPr>
          <w:rFonts w:ascii="Roboto" w:hAnsi="Roboto" w:cs="Times New Roman"/>
        </w:rPr>
        <w:t xml:space="preserve"> </w:t>
      </w:r>
      <w:r w:rsidR="00221753">
        <w:rPr>
          <w:rFonts w:ascii="Roboto" w:hAnsi="Roboto" w:cs="Times New Roman"/>
        </w:rPr>
        <w:t xml:space="preserve">beyond </w:t>
      </w:r>
      <w:r w:rsidR="00A257CA">
        <w:rPr>
          <w:rFonts w:ascii="Roboto" w:hAnsi="Roboto" w:cs="Times New Roman"/>
        </w:rPr>
        <w:t xml:space="preserve">informing them of </w:t>
      </w:r>
      <w:r w:rsidR="004E0BF3">
        <w:rPr>
          <w:rFonts w:ascii="Roboto" w:hAnsi="Roboto" w:cs="Times New Roman"/>
        </w:rPr>
        <w:t>specific legislative responsibilities</w:t>
      </w:r>
      <w:r w:rsidR="00A257CA">
        <w:rPr>
          <w:rFonts w:ascii="Roboto" w:hAnsi="Roboto" w:cs="Times New Roman"/>
        </w:rPr>
        <w:t>,</w:t>
      </w:r>
      <w:r w:rsidR="004E0BF3">
        <w:rPr>
          <w:rFonts w:ascii="Roboto" w:hAnsi="Roboto" w:cs="Times New Roman"/>
        </w:rPr>
        <w:t xml:space="preserve"> and this can create challenges in </w:t>
      </w:r>
      <w:r w:rsidR="00A257CA">
        <w:rPr>
          <w:rFonts w:ascii="Roboto" w:hAnsi="Roboto" w:cs="Times New Roman"/>
        </w:rPr>
        <w:t>implement</w:t>
      </w:r>
      <w:r w:rsidR="0079402E">
        <w:rPr>
          <w:rFonts w:ascii="Roboto" w:hAnsi="Roboto" w:cs="Times New Roman"/>
        </w:rPr>
        <w:t>ing</w:t>
      </w:r>
      <w:r w:rsidR="00A257CA">
        <w:rPr>
          <w:rFonts w:ascii="Roboto" w:hAnsi="Roboto" w:cs="Times New Roman"/>
        </w:rPr>
        <w:t xml:space="preserve"> change.</w:t>
      </w:r>
      <w:r w:rsidR="00A257CA">
        <w:rPr>
          <w:rStyle w:val="FootnoteReference"/>
          <w:rFonts w:ascii="Roboto" w:hAnsi="Roboto" w:cs="Times New Roman"/>
        </w:rPr>
        <w:footnoteReference w:id="8"/>
      </w:r>
      <w:r w:rsidR="00A257CA">
        <w:rPr>
          <w:rFonts w:ascii="Roboto" w:hAnsi="Roboto" w:cs="Times New Roman"/>
        </w:rPr>
        <w:t xml:space="preserve"> </w:t>
      </w:r>
      <w:r w:rsidR="0093255A">
        <w:rPr>
          <w:rFonts w:ascii="Roboto" w:hAnsi="Roboto" w:cs="Times New Roman"/>
        </w:rPr>
        <w:t>In addition the</w:t>
      </w:r>
      <w:r w:rsidR="00402E47">
        <w:rPr>
          <w:rFonts w:ascii="Roboto" w:hAnsi="Roboto" w:cs="Times New Roman"/>
        </w:rPr>
        <w:t>re</w:t>
      </w:r>
      <w:r w:rsidR="00AE6361">
        <w:rPr>
          <w:rFonts w:ascii="Roboto" w:hAnsi="Roboto" w:cs="Times New Roman"/>
        </w:rPr>
        <w:t xml:space="preserve"> is a substantial power imbalance </w:t>
      </w:r>
      <w:r w:rsidR="00D96380" w:rsidRPr="00D96380">
        <w:rPr>
          <w:rFonts w:ascii="Roboto" w:hAnsi="Roboto" w:cs="Times New Roman"/>
        </w:rPr>
        <w:t>between</w:t>
      </w:r>
      <w:r w:rsidR="00AE6361">
        <w:rPr>
          <w:rFonts w:ascii="Roboto" w:hAnsi="Roboto" w:cs="Times New Roman"/>
        </w:rPr>
        <w:t xml:space="preserve"> </w:t>
      </w:r>
      <w:r w:rsidR="00D96380" w:rsidRPr="00D96380">
        <w:rPr>
          <w:rFonts w:ascii="Roboto" w:hAnsi="Roboto" w:cs="Times New Roman"/>
        </w:rPr>
        <w:t>parliamentarians</w:t>
      </w:r>
      <w:r w:rsidR="00AE6361">
        <w:rPr>
          <w:rFonts w:ascii="Roboto" w:hAnsi="Roboto" w:cs="Times New Roman"/>
        </w:rPr>
        <w:t>, their staff and parliamentary departmental staff</w:t>
      </w:r>
      <w:r w:rsidR="00D96380" w:rsidRPr="00D96380">
        <w:rPr>
          <w:rFonts w:ascii="Roboto" w:hAnsi="Roboto" w:cs="Times New Roman"/>
        </w:rPr>
        <w:t>.</w:t>
      </w:r>
      <w:r w:rsidR="00D96380" w:rsidRPr="00D96380">
        <w:rPr>
          <w:rStyle w:val="FootnoteReference"/>
          <w:rFonts w:ascii="Roboto" w:hAnsi="Roboto" w:cs="Times New Roman"/>
        </w:rPr>
        <w:footnoteReference w:id="9"/>
      </w:r>
      <w:r w:rsidR="00D96380" w:rsidRPr="00D96380">
        <w:rPr>
          <w:rFonts w:ascii="Roboto" w:hAnsi="Roboto" w:cs="Times New Roman"/>
        </w:rPr>
        <w:t xml:space="preserve"> </w:t>
      </w:r>
      <w:r w:rsidR="006C3DA5" w:rsidRPr="004942E9">
        <w:rPr>
          <w:rFonts w:ascii="Roboto" w:hAnsi="Roboto" w:cs="Times New Roman"/>
        </w:rPr>
        <w:t>These structural and environmental conditions are both the basis for a need for cultural change and the barriers to bringing it about.</w:t>
      </w:r>
    </w:p>
    <w:p w14:paraId="2DB88701" w14:textId="00303156" w:rsidR="0006548D" w:rsidRDefault="0093255A" w:rsidP="00AE6361">
      <w:pPr>
        <w:pStyle w:val="NormalWeb"/>
        <w:rPr>
          <w:rFonts w:ascii="Roboto" w:hAnsi="Roboto"/>
        </w:rPr>
      </w:pPr>
      <w:r w:rsidRPr="009710D2">
        <w:rPr>
          <w:rFonts w:ascii="Roboto" w:hAnsi="Roboto"/>
          <w:sz w:val="22"/>
          <w:szCs w:val="22"/>
        </w:rPr>
        <w:t xml:space="preserve">In </w:t>
      </w:r>
      <w:r w:rsidRPr="009710D2">
        <w:rPr>
          <w:rStyle w:val="Emphasis"/>
          <w:rFonts w:ascii="Roboto" w:hAnsi="Roboto"/>
          <w:sz w:val="22"/>
          <w:szCs w:val="22"/>
        </w:rPr>
        <w:t>Toxic Parliaments and What Can Be Done About Them</w:t>
      </w:r>
      <w:r w:rsidRPr="009710D2">
        <w:rPr>
          <w:rFonts w:ascii="Roboto" w:hAnsi="Roboto"/>
          <w:sz w:val="22"/>
          <w:szCs w:val="22"/>
        </w:rPr>
        <w:t xml:space="preserve"> </w:t>
      </w:r>
      <w:proofErr w:type="spellStart"/>
      <w:r w:rsidR="009710D2" w:rsidRPr="009710D2">
        <w:rPr>
          <w:rFonts w:ascii="Roboto" w:hAnsi="Roboto"/>
          <w:sz w:val="22"/>
          <w:szCs w:val="22"/>
        </w:rPr>
        <w:t>Sawer</w:t>
      </w:r>
      <w:proofErr w:type="spellEnd"/>
      <w:r w:rsidR="009710D2" w:rsidRPr="009710D2">
        <w:rPr>
          <w:rFonts w:ascii="Roboto" w:hAnsi="Roboto"/>
          <w:sz w:val="22"/>
          <w:szCs w:val="22"/>
        </w:rPr>
        <w:t xml:space="preserve"> </w:t>
      </w:r>
      <w:r w:rsidR="009710D2">
        <w:rPr>
          <w:rFonts w:ascii="Roboto" w:hAnsi="Roboto"/>
          <w:sz w:val="22"/>
          <w:szCs w:val="22"/>
        </w:rPr>
        <w:t xml:space="preserve">and </w:t>
      </w:r>
      <w:proofErr w:type="spellStart"/>
      <w:r w:rsidR="009710D2">
        <w:rPr>
          <w:rFonts w:ascii="Roboto" w:hAnsi="Roboto"/>
          <w:sz w:val="22"/>
          <w:szCs w:val="22"/>
        </w:rPr>
        <w:t>Maley</w:t>
      </w:r>
      <w:proofErr w:type="spellEnd"/>
      <w:r w:rsidR="009710D2">
        <w:rPr>
          <w:rFonts w:ascii="Roboto" w:hAnsi="Roboto"/>
          <w:sz w:val="22"/>
          <w:szCs w:val="22"/>
        </w:rPr>
        <w:t xml:space="preserve"> </w:t>
      </w:r>
      <w:r w:rsidR="0022778E">
        <w:rPr>
          <w:rFonts w:ascii="Roboto" w:hAnsi="Roboto"/>
          <w:sz w:val="22"/>
          <w:szCs w:val="22"/>
        </w:rPr>
        <w:t>find</w:t>
      </w:r>
      <w:r w:rsidRPr="009710D2">
        <w:rPr>
          <w:rFonts w:ascii="Roboto" w:hAnsi="Roboto"/>
          <w:sz w:val="22"/>
          <w:szCs w:val="22"/>
        </w:rPr>
        <w:t xml:space="preserve"> that toxic </w:t>
      </w:r>
      <w:r w:rsidR="009710D2" w:rsidRPr="009710D2">
        <w:rPr>
          <w:rFonts w:ascii="Roboto" w:hAnsi="Roboto"/>
          <w:sz w:val="22"/>
          <w:szCs w:val="22"/>
        </w:rPr>
        <w:t>behaviours</w:t>
      </w:r>
      <w:r w:rsidRPr="009710D2">
        <w:rPr>
          <w:rFonts w:ascii="Roboto" w:hAnsi="Roboto"/>
          <w:sz w:val="22"/>
          <w:szCs w:val="22"/>
        </w:rPr>
        <w:t xml:space="preserve">, such as bullying, harassment, and discrimination, are entrenched in many parliamentary systems, hindering effective </w:t>
      </w:r>
      <w:proofErr w:type="gramStart"/>
      <w:r w:rsidRPr="009710D2">
        <w:rPr>
          <w:rFonts w:ascii="Roboto" w:hAnsi="Roboto"/>
          <w:sz w:val="22"/>
          <w:szCs w:val="22"/>
        </w:rPr>
        <w:t>governance</w:t>
      </w:r>
      <w:proofErr w:type="gramEnd"/>
      <w:r w:rsidRPr="009710D2">
        <w:rPr>
          <w:rFonts w:ascii="Roboto" w:hAnsi="Roboto"/>
          <w:sz w:val="22"/>
          <w:szCs w:val="22"/>
        </w:rPr>
        <w:t xml:space="preserve"> and creating hostile work environments. Th</w:t>
      </w:r>
      <w:r w:rsidR="00554D4B">
        <w:rPr>
          <w:rFonts w:ascii="Roboto" w:hAnsi="Roboto"/>
          <w:sz w:val="22"/>
          <w:szCs w:val="22"/>
        </w:rPr>
        <w:t xml:space="preserve">is suggests </w:t>
      </w:r>
      <w:r w:rsidR="00227A80">
        <w:rPr>
          <w:rFonts w:ascii="Roboto" w:hAnsi="Roboto"/>
          <w:sz w:val="22"/>
          <w:szCs w:val="22"/>
        </w:rPr>
        <w:t>the need for</w:t>
      </w:r>
      <w:r w:rsidRPr="009710D2">
        <w:rPr>
          <w:rFonts w:ascii="Roboto" w:hAnsi="Roboto"/>
          <w:sz w:val="22"/>
          <w:szCs w:val="22"/>
        </w:rPr>
        <w:t xml:space="preserve"> systemic change through enforceable standards, stronger accountability, and cultural reforms to foster respectful, inclusive, and productive parliamentary workplaces</w:t>
      </w:r>
      <w:r w:rsidRPr="0093255A">
        <w:rPr>
          <w:rFonts w:ascii="Roboto" w:hAnsi="Roboto"/>
        </w:rPr>
        <w:t>.</w:t>
      </w:r>
      <w:r w:rsidR="009710D2">
        <w:rPr>
          <w:rStyle w:val="FootnoteReference"/>
          <w:rFonts w:ascii="Roboto" w:hAnsi="Roboto"/>
        </w:rPr>
        <w:footnoteReference w:id="10"/>
      </w:r>
    </w:p>
    <w:p w14:paraId="762B904C" w14:textId="5E3EC0B5" w:rsidR="00BB737D" w:rsidRDefault="00B94131">
      <w:pPr>
        <w:rPr>
          <w:rFonts w:ascii="Roboto" w:hAnsi="Roboto"/>
        </w:rPr>
      </w:pPr>
      <w:proofErr w:type="spellStart"/>
      <w:r w:rsidRPr="00B94131">
        <w:rPr>
          <w:rStyle w:val="Strong"/>
          <w:rFonts w:ascii="Roboto" w:hAnsi="Roboto"/>
          <w:b w:val="0"/>
          <w:bCs w:val="0"/>
        </w:rPr>
        <w:t>Sawer</w:t>
      </w:r>
      <w:proofErr w:type="spellEnd"/>
      <w:r w:rsidRPr="00B94131">
        <w:rPr>
          <w:rStyle w:val="Strong"/>
          <w:rFonts w:ascii="Roboto" w:hAnsi="Roboto"/>
          <w:b w:val="0"/>
          <w:bCs w:val="0"/>
        </w:rPr>
        <w:t xml:space="preserve"> and </w:t>
      </w:r>
      <w:proofErr w:type="spellStart"/>
      <w:r w:rsidRPr="00B94131">
        <w:rPr>
          <w:rStyle w:val="Strong"/>
          <w:rFonts w:ascii="Roboto" w:hAnsi="Roboto"/>
          <w:b w:val="0"/>
          <w:bCs w:val="0"/>
        </w:rPr>
        <w:t>Maley</w:t>
      </w:r>
      <w:proofErr w:type="spellEnd"/>
      <w:r w:rsidRPr="00B94131">
        <w:rPr>
          <w:rFonts w:ascii="Roboto" w:hAnsi="Roboto"/>
        </w:rPr>
        <w:t xml:space="preserve"> </w:t>
      </w:r>
      <w:r w:rsidR="009773A5">
        <w:rPr>
          <w:rFonts w:ascii="Roboto" w:hAnsi="Roboto"/>
        </w:rPr>
        <w:t xml:space="preserve">discuss the potential </w:t>
      </w:r>
      <w:r w:rsidRPr="00B94131">
        <w:rPr>
          <w:rFonts w:ascii="Roboto" w:hAnsi="Roboto"/>
        </w:rPr>
        <w:t xml:space="preserve">that the entry of women into parliamentary spaces </w:t>
      </w:r>
      <w:r w:rsidR="000F558A">
        <w:rPr>
          <w:rFonts w:ascii="Roboto" w:hAnsi="Roboto"/>
        </w:rPr>
        <w:t>presents to</w:t>
      </w:r>
      <w:r w:rsidRPr="00B94131">
        <w:rPr>
          <w:rFonts w:ascii="Roboto" w:hAnsi="Roboto"/>
        </w:rPr>
        <w:t xml:space="preserve"> challenge toxic parliamentary cultures.</w:t>
      </w:r>
      <w:r w:rsidR="00EC06C2">
        <w:rPr>
          <w:rFonts w:ascii="Roboto" w:hAnsi="Roboto"/>
        </w:rPr>
        <w:t xml:space="preserve"> A potential that </w:t>
      </w:r>
      <w:r w:rsidR="008735C1">
        <w:rPr>
          <w:rFonts w:ascii="Roboto" w:hAnsi="Roboto"/>
        </w:rPr>
        <w:t xml:space="preserve">has been thwarted by </w:t>
      </w:r>
      <w:r w:rsidR="00317F24">
        <w:rPr>
          <w:rFonts w:ascii="Roboto" w:hAnsi="Roboto"/>
        </w:rPr>
        <w:t xml:space="preserve">broad </w:t>
      </w:r>
      <w:r w:rsidR="008735C1">
        <w:rPr>
          <w:rFonts w:ascii="Roboto" w:hAnsi="Roboto"/>
        </w:rPr>
        <w:t xml:space="preserve">entrenched </w:t>
      </w:r>
      <w:r w:rsidR="000C40AC">
        <w:rPr>
          <w:rFonts w:ascii="Roboto" w:hAnsi="Roboto"/>
        </w:rPr>
        <w:t>attitudes</w:t>
      </w:r>
      <w:r w:rsidR="00DB236A">
        <w:rPr>
          <w:rFonts w:ascii="Roboto" w:hAnsi="Roboto"/>
        </w:rPr>
        <w:t xml:space="preserve"> and constraints</w:t>
      </w:r>
      <w:r w:rsidR="000C40AC">
        <w:rPr>
          <w:rFonts w:ascii="Roboto" w:hAnsi="Roboto"/>
        </w:rPr>
        <w:t>.</w:t>
      </w:r>
      <w:r w:rsidR="00D56496">
        <w:rPr>
          <w:rStyle w:val="FootnoteReference"/>
          <w:rFonts w:ascii="Roboto" w:hAnsi="Roboto"/>
        </w:rPr>
        <w:footnoteReference w:id="11"/>
      </w:r>
      <w:r w:rsidR="000C40AC">
        <w:rPr>
          <w:rStyle w:val="Emphasis"/>
          <w:rFonts w:ascii="Roboto" w:hAnsi="Roboto"/>
          <w:i w:val="0"/>
          <w:iCs w:val="0"/>
        </w:rPr>
        <w:t xml:space="preserve"> </w:t>
      </w:r>
      <w:r w:rsidR="00642948" w:rsidRPr="00D96380">
        <w:rPr>
          <w:rFonts w:ascii="Roboto" w:hAnsi="Roboto"/>
        </w:rPr>
        <w:t xml:space="preserve">We know that </w:t>
      </w:r>
      <w:r w:rsidR="00B306F2">
        <w:rPr>
          <w:rFonts w:ascii="Roboto" w:hAnsi="Roboto"/>
        </w:rPr>
        <w:t xml:space="preserve">Australian </w:t>
      </w:r>
      <w:r w:rsidR="00227A80">
        <w:rPr>
          <w:rFonts w:ascii="Roboto" w:hAnsi="Roboto"/>
        </w:rPr>
        <w:t>p</w:t>
      </w:r>
      <w:r w:rsidR="00642948" w:rsidRPr="00D96380">
        <w:rPr>
          <w:rFonts w:ascii="Roboto" w:hAnsi="Roboto"/>
        </w:rPr>
        <w:t xml:space="preserve">arliaments have traditionally been male-dominated spaces, </w:t>
      </w:r>
      <w:r w:rsidR="00227A80">
        <w:rPr>
          <w:rFonts w:ascii="Roboto" w:hAnsi="Roboto"/>
        </w:rPr>
        <w:t>and that they</w:t>
      </w:r>
      <w:r w:rsidR="00642948" w:rsidRPr="00D96380">
        <w:rPr>
          <w:rFonts w:ascii="Roboto" w:hAnsi="Roboto"/>
        </w:rPr>
        <w:t xml:space="preserve"> have historically</w:t>
      </w:r>
      <w:r w:rsidR="00227A80">
        <w:rPr>
          <w:rFonts w:ascii="Roboto" w:hAnsi="Roboto"/>
        </w:rPr>
        <w:t xml:space="preserve"> </w:t>
      </w:r>
      <w:r w:rsidR="00642948" w:rsidRPr="00D96380">
        <w:rPr>
          <w:rFonts w:ascii="Roboto" w:hAnsi="Roboto"/>
        </w:rPr>
        <w:t xml:space="preserve">passed legislation that </w:t>
      </w:r>
      <w:r w:rsidR="00D56496">
        <w:rPr>
          <w:rFonts w:ascii="Roboto" w:hAnsi="Roboto"/>
        </w:rPr>
        <w:t>wa</w:t>
      </w:r>
      <w:r w:rsidR="00642948" w:rsidRPr="00D96380">
        <w:rPr>
          <w:rFonts w:ascii="Roboto" w:hAnsi="Roboto"/>
        </w:rPr>
        <w:t xml:space="preserve">s harmful </w:t>
      </w:r>
      <w:r w:rsidR="00D56496">
        <w:rPr>
          <w:rFonts w:ascii="Roboto" w:hAnsi="Roboto"/>
        </w:rPr>
        <w:t xml:space="preserve">to </w:t>
      </w:r>
      <w:r w:rsidR="00642948" w:rsidRPr="00D96380">
        <w:rPr>
          <w:rFonts w:ascii="Roboto" w:hAnsi="Roboto"/>
        </w:rPr>
        <w:t>Aboriginal and Torres Strait Islander</w:t>
      </w:r>
      <w:r w:rsidR="00013B24">
        <w:rPr>
          <w:rFonts w:ascii="Roboto" w:hAnsi="Roboto"/>
        </w:rPr>
        <w:t>s</w:t>
      </w:r>
      <w:r w:rsidR="00D56496">
        <w:rPr>
          <w:rStyle w:val="FootnoteReference"/>
          <w:rFonts w:ascii="Roboto" w:hAnsi="Roboto"/>
        </w:rPr>
        <w:footnoteReference w:id="12"/>
      </w:r>
      <w:r w:rsidR="00D56496">
        <w:rPr>
          <w:rFonts w:ascii="Roboto" w:hAnsi="Roboto"/>
        </w:rPr>
        <w:t xml:space="preserve">, </w:t>
      </w:r>
      <w:r w:rsidR="00D56496" w:rsidRPr="00BB737D">
        <w:rPr>
          <w:rFonts w:ascii="Roboto" w:hAnsi="Roboto"/>
        </w:rPr>
        <w:t>LGBTQIA+ people</w:t>
      </w:r>
      <w:r w:rsidR="00D56496" w:rsidRPr="00BB737D">
        <w:rPr>
          <w:rStyle w:val="FootnoteReference"/>
          <w:rFonts w:ascii="Roboto" w:hAnsi="Roboto"/>
        </w:rPr>
        <w:footnoteReference w:id="13"/>
      </w:r>
      <w:r w:rsidR="00D56496" w:rsidRPr="00BB737D">
        <w:rPr>
          <w:rFonts w:ascii="Roboto" w:hAnsi="Roboto"/>
        </w:rPr>
        <w:t>, people with disabilities</w:t>
      </w:r>
      <w:r w:rsidR="00D56496" w:rsidRPr="00BB737D">
        <w:rPr>
          <w:rStyle w:val="FootnoteReference"/>
          <w:rFonts w:ascii="Roboto" w:hAnsi="Roboto"/>
        </w:rPr>
        <w:footnoteReference w:id="14"/>
      </w:r>
      <w:r w:rsidR="00D56496" w:rsidRPr="00BB737D">
        <w:rPr>
          <w:rFonts w:ascii="Roboto" w:hAnsi="Roboto"/>
        </w:rPr>
        <w:t xml:space="preserve">, </w:t>
      </w:r>
      <w:r w:rsidR="00642948" w:rsidRPr="00BB737D">
        <w:rPr>
          <w:rFonts w:ascii="Roboto" w:hAnsi="Roboto"/>
        </w:rPr>
        <w:t xml:space="preserve">and people from culturally </w:t>
      </w:r>
      <w:r w:rsidR="00D56496" w:rsidRPr="00BB737D">
        <w:rPr>
          <w:rFonts w:ascii="Roboto" w:hAnsi="Roboto"/>
        </w:rPr>
        <w:t xml:space="preserve">diverse </w:t>
      </w:r>
      <w:r w:rsidR="00642948" w:rsidRPr="00BB737D">
        <w:rPr>
          <w:rFonts w:ascii="Roboto" w:hAnsi="Roboto"/>
        </w:rPr>
        <w:t>backgrounds.</w:t>
      </w:r>
      <w:r w:rsidR="00C042D9" w:rsidRPr="00BB737D">
        <w:rPr>
          <w:rStyle w:val="FootnoteReference"/>
          <w:rFonts w:ascii="Roboto" w:hAnsi="Roboto"/>
        </w:rPr>
        <w:footnoteReference w:id="15"/>
      </w:r>
      <w:r w:rsidR="00642948" w:rsidRPr="00BB737D">
        <w:rPr>
          <w:rFonts w:ascii="Roboto" w:hAnsi="Roboto"/>
        </w:rPr>
        <w:t xml:space="preserve"> </w:t>
      </w:r>
      <w:r w:rsidR="00BB737D" w:rsidRPr="00BB737D">
        <w:rPr>
          <w:rFonts w:ascii="Roboto" w:hAnsi="Roboto"/>
        </w:rPr>
        <w:t>It could be suggested that this negative legislative history has echoes in the experiences of people from diverse backgrounds who work in parliamentary environments today. Certainly</w:t>
      </w:r>
      <w:r w:rsidR="00BB737D">
        <w:rPr>
          <w:rFonts w:ascii="Roboto" w:hAnsi="Roboto"/>
        </w:rPr>
        <w:t>,</w:t>
      </w:r>
      <w:r w:rsidR="00BB737D" w:rsidRPr="00BB737D">
        <w:rPr>
          <w:rFonts w:ascii="Roboto" w:hAnsi="Roboto"/>
        </w:rPr>
        <w:t xml:space="preserve"> research shows that bullying and harassment is more often perpetrated against individuals in marginalised groups.</w:t>
      </w:r>
      <w:r w:rsidR="00F61322" w:rsidRPr="00BB737D">
        <w:rPr>
          <w:rFonts w:ascii="Roboto" w:hAnsi="Roboto"/>
        </w:rPr>
        <w:t xml:space="preserve"> However</w:t>
      </w:r>
      <w:r w:rsidR="00227A80" w:rsidRPr="00BB737D">
        <w:rPr>
          <w:rFonts w:ascii="Roboto" w:hAnsi="Roboto"/>
        </w:rPr>
        <w:t>,</w:t>
      </w:r>
      <w:r w:rsidR="00F61322" w:rsidRPr="00BB737D">
        <w:rPr>
          <w:rFonts w:ascii="Roboto" w:hAnsi="Roboto"/>
        </w:rPr>
        <w:t xml:space="preserve"> as women entering parliament</w:t>
      </w:r>
      <w:r w:rsidR="000E4978">
        <w:rPr>
          <w:rFonts w:ascii="Roboto" w:hAnsi="Roboto"/>
        </w:rPr>
        <w:t xml:space="preserve"> create the potential for</w:t>
      </w:r>
      <w:r w:rsidR="00F61322" w:rsidRPr="00BB737D">
        <w:rPr>
          <w:rFonts w:ascii="Roboto" w:hAnsi="Roboto"/>
        </w:rPr>
        <w:t xml:space="preserve"> positive change</w:t>
      </w:r>
      <w:r w:rsidR="00970371" w:rsidRPr="00BB737D">
        <w:rPr>
          <w:rFonts w:ascii="Roboto" w:hAnsi="Roboto"/>
        </w:rPr>
        <w:t>,</w:t>
      </w:r>
      <w:r w:rsidR="00BB737D" w:rsidRPr="00BB737D">
        <w:rPr>
          <w:rFonts w:ascii="Roboto" w:hAnsi="Roboto"/>
        </w:rPr>
        <w:t xml:space="preserve"> diversification of perspectives, experiences and skills in the parliamentary workforce serves to challenge toxic culture and better reflect the diverse community that parliament is intended to represent. </w:t>
      </w:r>
      <w:r w:rsidR="00F40CAC">
        <w:rPr>
          <w:rFonts w:ascii="Roboto" w:hAnsi="Roboto"/>
        </w:rPr>
        <w:t>Importantly t</w:t>
      </w:r>
      <w:r w:rsidR="00BB737D" w:rsidRPr="00BB737D">
        <w:rPr>
          <w:rFonts w:ascii="Roboto" w:hAnsi="Roboto"/>
        </w:rPr>
        <w:t xml:space="preserve">hese benefits can only be fully realised when respect, safety and inclusion are the true constants in the experience of all those within the </w:t>
      </w:r>
      <w:r w:rsidR="00F40CAC">
        <w:rPr>
          <w:rFonts w:ascii="Roboto" w:hAnsi="Roboto"/>
        </w:rPr>
        <w:t xml:space="preserve">parliamentary </w:t>
      </w:r>
      <w:r w:rsidR="00BB737D" w:rsidRPr="00BB737D">
        <w:rPr>
          <w:rFonts w:ascii="Roboto" w:hAnsi="Roboto"/>
        </w:rPr>
        <w:t>workplace.</w:t>
      </w:r>
    </w:p>
    <w:p w14:paraId="640B08BB" w14:textId="77777777" w:rsidR="007D7AD1" w:rsidRDefault="007D7AD1">
      <w:pPr>
        <w:rPr>
          <w:rFonts w:ascii="Roboto" w:hAnsi="Roboto"/>
        </w:rPr>
      </w:pPr>
    </w:p>
    <w:p w14:paraId="0DEE8E01" w14:textId="4CF1670C" w:rsidR="00D96380" w:rsidRPr="00D96380" w:rsidRDefault="008D1849">
      <w:pPr>
        <w:rPr>
          <w:rFonts w:ascii="Roboto" w:hAnsi="Roboto"/>
        </w:rPr>
      </w:pPr>
      <w:r>
        <w:rPr>
          <w:rFonts w:ascii="Roboto" w:hAnsi="Roboto"/>
        </w:rPr>
        <w:lastRenderedPageBreak/>
        <w:t xml:space="preserve">This paper suggests that governance structures that capture and track the experiences of people from diverse backgrounds through a risk-based </w:t>
      </w:r>
      <w:r w:rsidR="008B0B65">
        <w:rPr>
          <w:rFonts w:ascii="Roboto" w:hAnsi="Roboto"/>
        </w:rPr>
        <w:t>approach</w:t>
      </w:r>
      <w:r>
        <w:rPr>
          <w:rFonts w:ascii="Roboto" w:hAnsi="Roboto"/>
        </w:rPr>
        <w:t xml:space="preserve"> will better support longer term and more effective change. </w:t>
      </w:r>
    </w:p>
    <w:p w14:paraId="39C04B3D" w14:textId="77777777" w:rsidR="006C3DA5" w:rsidRDefault="006C3DA5" w:rsidP="00D96380">
      <w:pPr>
        <w:rPr>
          <w:rFonts w:ascii="Roboto" w:hAnsi="Roboto"/>
        </w:rPr>
      </w:pPr>
    </w:p>
    <w:p w14:paraId="78492F7D" w14:textId="310FB49E" w:rsidR="006C3DA5" w:rsidRDefault="00515C71" w:rsidP="00D96380">
      <w:pPr>
        <w:rPr>
          <w:rFonts w:ascii="Roboto" w:hAnsi="Roboto"/>
          <w:b/>
          <w:bCs/>
        </w:rPr>
      </w:pPr>
      <w:r>
        <w:rPr>
          <w:rFonts w:ascii="Roboto" w:hAnsi="Roboto"/>
          <w:b/>
          <w:bCs/>
        </w:rPr>
        <w:t>The Broderick Review</w:t>
      </w:r>
    </w:p>
    <w:p w14:paraId="576835CE" w14:textId="77777777" w:rsidR="00077CBD" w:rsidRDefault="00077CBD" w:rsidP="00DD5532">
      <w:pPr>
        <w:rPr>
          <w:rFonts w:ascii="Roboto" w:hAnsi="Roboto" w:cs="Times New Roman"/>
        </w:rPr>
      </w:pPr>
    </w:p>
    <w:p w14:paraId="0B90C7A2" w14:textId="600A8F9F" w:rsidR="00B209B0" w:rsidRDefault="00077CBD" w:rsidP="001F1058">
      <w:pPr>
        <w:rPr>
          <w:rStyle w:val="Emphasis"/>
          <w:rFonts w:ascii="Roboto" w:hAnsi="Roboto"/>
          <w:i w:val="0"/>
          <w:iCs w:val="0"/>
        </w:rPr>
      </w:pPr>
      <w:r w:rsidRPr="008D1849">
        <w:rPr>
          <w:rFonts w:ascii="Roboto" w:hAnsi="Roboto" w:cs="Arial"/>
          <w:shd w:val="clear" w:color="auto" w:fill="FFFFFF"/>
        </w:rPr>
        <w:t>In July 2021, the NSW Parliamentary Executive Group</w:t>
      </w:r>
      <w:r w:rsidR="008B0B65">
        <w:rPr>
          <w:rStyle w:val="FootnoteReference"/>
          <w:rFonts w:ascii="Roboto" w:hAnsi="Roboto" w:cs="Arial"/>
          <w:shd w:val="clear" w:color="auto" w:fill="FFFFFF"/>
        </w:rPr>
        <w:footnoteReference w:id="16"/>
      </w:r>
      <w:r w:rsidRPr="008D1849">
        <w:rPr>
          <w:rFonts w:ascii="Roboto" w:hAnsi="Roboto" w:cs="Arial"/>
          <w:shd w:val="clear" w:color="auto" w:fill="FFFFFF"/>
        </w:rPr>
        <w:t xml:space="preserve"> announced the engagement of former Sex Discrimination Commissioner Elizabeth Broderick AO to lead an independent review into bullying, harassment, and sexual misconduct in NSW Parliament workplaces (the Broderick Review).</w:t>
      </w:r>
      <w:r w:rsidRPr="008D1849">
        <w:rPr>
          <w:rStyle w:val="FootnoteReference"/>
          <w:rFonts w:ascii="Roboto" w:hAnsi="Roboto" w:cs="Arial"/>
          <w:shd w:val="clear" w:color="auto" w:fill="FFFFFF"/>
        </w:rPr>
        <w:footnoteReference w:id="17"/>
      </w:r>
      <w:r w:rsidRPr="008D1849">
        <w:rPr>
          <w:rStyle w:val="Emphasis"/>
          <w:rFonts w:ascii="Roboto" w:hAnsi="Roboto"/>
          <w:i w:val="0"/>
          <w:iCs w:val="0"/>
        </w:rPr>
        <w:t xml:space="preserve"> </w:t>
      </w:r>
    </w:p>
    <w:p w14:paraId="0816CAEA" w14:textId="77777777" w:rsidR="00B209B0" w:rsidRDefault="00B209B0" w:rsidP="001F1058">
      <w:pPr>
        <w:rPr>
          <w:rStyle w:val="Emphasis"/>
          <w:rFonts w:ascii="Roboto" w:hAnsi="Roboto"/>
          <w:i w:val="0"/>
          <w:iCs w:val="0"/>
        </w:rPr>
      </w:pPr>
    </w:p>
    <w:p w14:paraId="68539AAB" w14:textId="0A239F04" w:rsidR="00B209B0" w:rsidRDefault="00326D8D" w:rsidP="001F1058">
      <w:pPr>
        <w:rPr>
          <w:rFonts w:ascii="Roboto" w:hAnsi="Roboto"/>
        </w:rPr>
      </w:pPr>
      <w:r w:rsidRPr="00D7129F">
        <w:rPr>
          <w:rFonts w:ascii="Roboto" w:hAnsi="Roboto" w:cs="Times New Roman"/>
        </w:rPr>
        <w:t xml:space="preserve">The findings of the </w:t>
      </w:r>
      <w:r w:rsidR="008D1849">
        <w:rPr>
          <w:rFonts w:ascii="Roboto" w:hAnsi="Roboto" w:cs="Times New Roman"/>
        </w:rPr>
        <w:t>r</w:t>
      </w:r>
      <w:r w:rsidRPr="00D7129F">
        <w:rPr>
          <w:rFonts w:ascii="Roboto" w:hAnsi="Roboto" w:cs="Times New Roman"/>
        </w:rPr>
        <w:t xml:space="preserve">eview </w:t>
      </w:r>
      <w:r w:rsidR="008D1849">
        <w:rPr>
          <w:rFonts w:ascii="Roboto" w:hAnsi="Roboto" w:cs="Times New Roman"/>
        </w:rPr>
        <w:t xml:space="preserve">indicated </w:t>
      </w:r>
      <w:r w:rsidR="0051232B" w:rsidRPr="00D7129F">
        <w:rPr>
          <w:rFonts w:ascii="Roboto" w:hAnsi="Roboto" w:cs="Times New Roman"/>
        </w:rPr>
        <w:t xml:space="preserve">that </w:t>
      </w:r>
      <w:r w:rsidR="00965CC6" w:rsidRPr="00D7129F">
        <w:rPr>
          <w:rFonts w:ascii="Roboto" w:hAnsi="Roboto" w:cs="Times New Roman"/>
        </w:rPr>
        <w:t>women, young people</w:t>
      </w:r>
      <w:r w:rsidR="008D1849">
        <w:rPr>
          <w:rFonts w:ascii="Roboto" w:hAnsi="Roboto" w:cs="Times New Roman"/>
        </w:rPr>
        <w:t xml:space="preserve">, </w:t>
      </w:r>
      <w:r w:rsidR="00965CC6" w:rsidRPr="00D7129F">
        <w:rPr>
          <w:rFonts w:ascii="Roboto" w:hAnsi="Roboto" w:cs="Times New Roman"/>
        </w:rPr>
        <w:t>people with diverse sexualities</w:t>
      </w:r>
      <w:r w:rsidR="008D1849">
        <w:rPr>
          <w:rFonts w:ascii="Roboto" w:hAnsi="Roboto" w:cs="Times New Roman"/>
        </w:rPr>
        <w:t xml:space="preserve"> and genders</w:t>
      </w:r>
      <w:r w:rsidR="00965CC6" w:rsidRPr="00D7129F">
        <w:rPr>
          <w:rFonts w:ascii="Roboto" w:hAnsi="Roboto" w:cs="Times New Roman"/>
        </w:rPr>
        <w:t xml:space="preserve"> </w:t>
      </w:r>
      <w:r w:rsidR="003A199C" w:rsidRPr="00D7129F">
        <w:rPr>
          <w:rFonts w:ascii="Roboto" w:hAnsi="Roboto" w:cs="Times New Roman"/>
        </w:rPr>
        <w:t>report</w:t>
      </w:r>
      <w:r w:rsidR="00653C1D">
        <w:rPr>
          <w:rFonts w:ascii="Roboto" w:hAnsi="Roboto" w:cs="Times New Roman"/>
        </w:rPr>
        <w:t>ed</w:t>
      </w:r>
      <w:r w:rsidR="003A199C" w:rsidRPr="00D7129F">
        <w:rPr>
          <w:rFonts w:ascii="Roboto" w:hAnsi="Roboto" w:cs="Times New Roman"/>
        </w:rPr>
        <w:t xml:space="preserve"> a markedly worse experience within the parliamentary workplace</w:t>
      </w:r>
      <w:r w:rsidR="00887480" w:rsidRPr="00D7129F">
        <w:rPr>
          <w:rFonts w:ascii="Roboto" w:hAnsi="Roboto" w:cs="Times New Roman"/>
        </w:rPr>
        <w:t>, and that</w:t>
      </w:r>
      <w:r w:rsidR="00CE056C" w:rsidRPr="00D7129F">
        <w:rPr>
          <w:rFonts w:ascii="Roboto" w:hAnsi="Roboto" w:cs="Times New Roman"/>
        </w:rPr>
        <w:t xml:space="preserve"> harmful behaviours disproportionately affect</w:t>
      </w:r>
      <w:r w:rsidR="00D7129F" w:rsidRPr="00D7129F">
        <w:rPr>
          <w:rFonts w:ascii="Roboto" w:hAnsi="Roboto" w:cs="Times New Roman"/>
        </w:rPr>
        <w:t xml:space="preserve"> </w:t>
      </w:r>
      <w:r w:rsidR="00D7129F" w:rsidRPr="00D7129F">
        <w:rPr>
          <w:rFonts w:ascii="Roboto" w:eastAsia="Calibri" w:hAnsi="Roboto" w:cs="Calibri"/>
        </w:rPr>
        <w:t>Aboriginal and Torres Strait Islander people and those from culturally and linguistically diverse backgrounds.</w:t>
      </w:r>
      <w:r w:rsidR="00F73C12">
        <w:rPr>
          <w:rStyle w:val="FootnoteReference"/>
          <w:rFonts w:ascii="Roboto" w:eastAsia="Calibri" w:hAnsi="Roboto" w:cs="Calibri"/>
        </w:rPr>
        <w:footnoteReference w:id="18"/>
      </w:r>
      <w:r w:rsidR="00653C1D">
        <w:rPr>
          <w:rFonts w:ascii="Roboto" w:eastAsia="Calibri" w:hAnsi="Roboto" w:cs="Calibri"/>
        </w:rPr>
        <w:t xml:space="preserve"> </w:t>
      </w:r>
      <w:r w:rsidR="008B0B65">
        <w:rPr>
          <w:rFonts w:ascii="Roboto" w:eastAsia="Calibri" w:hAnsi="Roboto" w:cs="Calibri"/>
        </w:rPr>
        <w:t>In addition t</w:t>
      </w:r>
      <w:r w:rsidR="008F2EB7">
        <w:rPr>
          <w:rFonts w:ascii="Roboto" w:hAnsi="Roboto" w:cs="Times New Roman"/>
        </w:rPr>
        <w:t>h</w:t>
      </w:r>
      <w:r w:rsidR="00653C1D">
        <w:rPr>
          <w:rFonts w:ascii="Roboto" w:hAnsi="Roboto" w:cs="Times New Roman"/>
        </w:rPr>
        <w:t>e findings indicate</w:t>
      </w:r>
      <w:r w:rsidR="008F2EB7">
        <w:rPr>
          <w:rFonts w:ascii="Roboto" w:hAnsi="Roboto" w:cs="Times New Roman"/>
        </w:rPr>
        <w:t xml:space="preserve"> that </w:t>
      </w:r>
      <w:r w:rsidR="00653C1D">
        <w:rPr>
          <w:rFonts w:ascii="Roboto" w:hAnsi="Roboto" w:cs="Times New Roman"/>
        </w:rPr>
        <w:t>parliamentary m</w:t>
      </w:r>
      <w:r w:rsidR="001A1ABF">
        <w:rPr>
          <w:rFonts w:ascii="Roboto" w:hAnsi="Roboto" w:cs="Times New Roman"/>
        </w:rPr>
        <w:t>embers</w:t>
      </w:r>
      <w:r w:rsidR="00BC7DB1">
        <w:rPr>
          <w:rFonts w:ascii="Roboto" w:hAnsi="Roboto" w:cs="Times New Roman"/>
        </w:rPr>
        <w:t xml:space="preserve"> are the </w:t>
      </w:r>
      <w:r w:rsidR="00653C1D">
        <w:rPr>
          <w:rFonts w:ascii="Roboto" w:hAnsi="Roboto" w:cs="Times New Roman"/>
        </w:rPr>
        <w:t>group</w:t>
      </w:r>
      <w:r w:rsidR="001A1ABF">
        <w:rPr>
          <w:rFonts w:ascii="Roboto" w:hAnsi="Roboto" w:cs="Times New Roman"/>
        </w:rPr>
        <w:t xml:space="preserve"> who report having experienced or witnessed bullying, and</w:t>
      </w:r>
      <w:r w:rsidR="00A53291">
        <w:rPr>
          <w:rFonts w:ascii="Roboto" w:hAnsi="Roboto" w:cs="Times New Roman"/>
        </w:rPr>
        <w:t xml:space="preserve">/or sexual harassment </w:t>
      </w:r>
      <w:r w:rsidR="000F7355">
        <w:rPr>
          <w:rFonts w:ascii="Roboto" w:hAnsi="Roboto" w:cs="Times New Roman"/>
        </w:rPr>
        <w:t>in the highest numbers</w:t>
      </w:r>
      <w:r w:rsidR="00653C1D">
        <w:rPr>
          <w:rFonts w:ascii="Roboto" w:hAnsi="Roboto" w:cs="Times New Roman"/>
        </w:rPr>
        <w:t>.</w:t>
      </w:r>
      <w:r w:rsidR="00A47022">
        <w:rPr>
          <w:rStyle w:val="FootnoteReference"/>
          <w:rFonts w:ascii="Roboto" w:hAnsi="Roboto" w:cs="Times New Roman"/>
        </w:rPr>
        <w:footnoteReference w:id="19"/>
      </w:r>
    </w:p>
    <w:p w14:paraId="37C21F2B" w14:textId="77777777" w:rsidR="00B209B0" w:rsidRDefault="00B209B0" w:rsidP="001F1058">
      <w:pPr>
        <w:rPr>
          <w:rFonts w:ascii="Roboto" w:hAnsi="Roboto"/>
        </w:rPr>
      </w:pPr>
    </w:p>
    <w:p w14:paraId="561F2E05" w14:textId="77777777" w:rsidR="00B209B0" w:rsidRPr="002F2BED" w:rsidRDefault="00B209B0" w:rsidP="00B209B0">
      <w:pPr>
        <w:rPr>
          <w:rFonts w:ascii="Roboto" w:hAnsi="Roboto"/>
          <w:highlight w:val="green"/>
        </w:rPr>
      </w:pPr>
      <w:r w:rsidRPr="008D1849">
        <w:rPr>
          <w:rFonts w:ascii="Roboto" w:hAnsi="Roboto"/>
        </w:rPr>
        <w:t>The review called for systemic change, including the establishment of an independent complaints process, improved leadership accountability, and clear behavioural standards. It emphasi</w:t>
      </w:r>
      <w:r>
        <w:rPr>
          <w:rFonts w:ascii="Roboto" w:hAnsi="Roboto"/>
        </w:rPr>
        <w:t>s</w:t>
      </w:r>
      <w:r w:rsidRPr="008D1849">
        <w:rPr>
          <w:rFonts w:ascii="Roboto" w:hAnsi="Roboto"/>
        </w:rPr>
        <w:t>ed the importance of creating a safer, more inclusive parliamentary workplace, with a focus on respect, diversity, and gender equity</w:t>
      </w:r>
      <w:r>
        <w:rPr>
          <w:rFonts w:ascii="Roboto" w:hAnsi="Roboto"/>
        </w:rPr>
        <w:t>.</w:t>
      </w:r>
      <w:r>
        <w:rPr>
          <w:rStyle w:val="FootnoteReference"/>
          <w:rFonts w:ascii="Roboto" w:hAnsi="Roboto"/>
        </w:rPr>
        <w:footnoteReference w:id="20"/>
      </w:r>
    </w:p>
    <w:p w14:paraId="1C959FCF" w14:textId="77777777" w:rsidR="00B209B0" w:rsidRDefault="00B209B0" w:rsidP="002D1FCF">
      <w:pPr>
        <w:rPr>
          <w:rFonts w:ascii="Roboto" w:hAnsi="Roboto" w:cs="Times New Roman"/>
        </w:rPr>
      </w:pPr>
    </w:p>
    <w:p w14:paraId="1A320AB2" w14:textId="430F7D59" w:rsidR="002D1FCF" w:rsidRPr="00B209B0" w:rsidRDefault="002D1FCF" w:rsidP="002D1FCF">
      <w:pPr>
        <w:rPr>
          <w:rFonts w:ascii="Roboto" w:hAnsi="Roboto"/>
        </w:rPr>
      </w:pPr>
      <w:r w:rsidRPr="004942E9">
        <w:rPr>
          <w:rFonts w:ascii="Roboto" w:hAnsi="Roboto" w:cs="Times New Roman"/>
        </w:rPr>
        <w:t xml:space="preserve">Commissioning a </w:t>
      </w:r>
      <w:r w:rsidR="0056539B">
        <w:rPr>
          <w:rFonts w:ascii="Roboto" w:hAnsi="Roboto" w:cs="Times New Roman"/>
        </w:rPr>
        <w:t>r</w:t>
      </w:r>
      <w:r w:rsidRPr="004942E9">
        <w:rPr>
          <w:rFonts w:ascii="Roboto" w:hAnsi="Roboto" w:cs="Times New Roman"/>
        </w:rPr>
        <w:t>eview of this kind</w:t>
      </w:r>
      <w:r w:rsidR="0056539B">
        <w:rPr>
          <w:rFonts w:ascii="Roboto" w:hAnsi="Roboto" w:cs="Times New Roman"/>
        </w:rPr>
        <w:t xml:space="preserve"> is</w:t>
      </w:r>
      <w:r w:rsidRPr="004942E9">
        <w:rPr>
          <w:rFonts w:ascii="Roboto" w:hAnsi="Roboto" w:cs="Times New Roman"/>
        </w:rPr>
        <w:t xml:space="preserve"> a significant step towards addressing the potentially toxic nature of parliamentary </w:t>
      </w:r>
      <w:proofErr w:type="gramStart"/>
      <w:r w:rsidRPr="004942E9">
        <w:rPr>
          <w:rFonts w:ascii="Roboto" w:hAnsi="Roboto" w:cs="Times New Roman"/>
        </w:rPr>
        <w:t>workplaces</w:t>
      </w:r>
      <w:r w:rsidR="00790261">
        <w:rPr>
          <w:rFonts w:ascii="Roboto" w:hAnsi="Roboto" w:cs="Times New Roman"/>
        </w:rPr>
        <w:t xml:space="preserve"> in itself</w:t>
      </w:r>
      <w:proofErr w:type="gramEnd"/>
      <w:r w:rsidRPr="004942E9">
        <w:rPr>
          <w:rFonts w:ascii="Roboto" w:hAnsi="Roboto" w:cs="Times New Roman"/>
        </w:rPr>
        <w:t>. The implementation of the changes that it recommends, however, takes sustained commitment</w:t>
      </w:r>
      <w:r w:rsidR="00790261">
        <w:rPr>
          <w:rFonts w:ascii="Roboto" w:hAnsi="Roboto" w:cs="Times New Roman"/>
        </w:rPr>
        <w:t xml:space="preserve"> and is not without challenge</w:t>
      </w:r>
      <w:r w:rsidRPr="004942E9">
        <w:rPr>
          <w:rFonts w:ascii="Roboto" w:hAnsi="Roboto" w:cs="Times New Roman"/>
        </w:rPr>
        <w:t xml:space="preserve">. Authors such as </w:t>
      </w:r>
      <w:proofErr w:type="spellStart"/>
      <w:r w:rsidRPr="004942E9">
        <w:rPr>
          <w:rFonts w:ascii="Roboto" w:hAnsi="Roboto" w:cs="Times New Roman"/>
        </w:rPr>
        <w:t>Maley</w:t>
      </w:r>
      <w:proofErr w:type="spellEnd"/>
      <w:r w:rsidRPr="004942E9">
        <w:rPr>
          <w:rFonts w:ascii="Roboto" w:hAnsi="Roboto" w:cs="Times New Roman"/>
        </w:rPr>
        <w:t xml:space="preserve"> (2024)</w:t>
      </w:r>
      <w:r w:rsidRPr="004942E9">
        <w:rPr>
          <w:rStyle w:val="FootnoteReference"/>
          <w:rFonts w:ascii="Roboto" w:hAnsi="Roboto" w:cs="Times New Roman"/>
        </w:rPr>
        <w:footnoteReference w:id="21"/>
      </w:r>
      <w:r w:rsidRPr="004942E9">
        <w:rPr>
          <w:rFonts w:ascii="Roboto" w:hAnsi="Roboto" w:cs="Times New Roman"/>
        </w:rPr>
        <w:t>, Mackay (2014)</w:t>
      </w:r>
      <w:r w:rsidRPr="004942E9">
        <w:rPr>
          <w:rStyle w:val="FootnoteReference"/>
          <w:rFonts w:ascii="Roboto" w:hAnsi="Roboto" w:cs="Times New Roman"/>
        </w:rPr>
        <w:footnoteReference w:id="22"/>
      </w:r>
      <w:r w:rsidRPr="004942E9">
        <w:rPr>
          <w:rFonts w:ascii="Roboto" w:hAnsi="Roboto" w:cs="Times New Roman"/>
        </w:rPr>
        <w:t xml:space="preserve"> and Mahoney and </w:t>
      </w:r>
      <w:proofErr w:type="spellStart"/>
      <w:r w:rsidRPr="004942E9">
        <w:rPr>
          <w:rFonts w:ascii="Roboto" w:hAnsi="Roboto" w:cs="Times New Roman"/>
        </w:rPr>
        <w:t>Thelen</w:t>
      </w:r>
      <w:proofErr w:type="spellEnd"/>
      <w:r w:rsidRPr="004942E9">
        <w:rPr>
          <w:rFonts w:ascii="Roboto" w:hAnsi="Roboto" w:cs="Times New Roman"/>
        </w:rPr>
        <w:t xml:space="preserve"> (2010)</w:t>
      </w:r>
      <w:r w:rsidRPr="004942E9">
        <w:rPr>
          <w:rStyle w:val="FootnoteReference"/>
          <w:rFonts w:ascii="Roboto" w:hAnsi="Roboto" w:cs="Times New Roman"/>
        </w:rPr>
        <w:footnoteReference w:id="23"/>
      </w:r>
      <w:r w:rsidRPr="004942E9">
        <w:rPr>
          <w:rFonts w:ascii="Roboto" w:hAnsi="Roboto" w:cs="Times New Roman"/>
        </w:rPr>
        <w:t xml:space="preserve"> have noted the </w:t>
      </w:r>
      <w:proofErr w:type="gramStart"/>
      <w:r w:rsidRPr="004942E9">
        <w:rPr>
          <w:rFonts w:ascii="Roboto" w:hAnsi="Roboto" w:cs="Times New Roman"/>
        </w:rPr>
        <w:t>particular challenge</w:t>
      </w:r>
      <w:r>
        <w:rPr>
          <w:rFonts w:ascii="Roboto" w:hAnsi="Roboto" w:cs="Times New Roman"/>
        </w:rPr>
        <w:t>s</w:t>
      </w:r>
      <w:proofErr w:type="gramEnd"/>
      <w:r w:rsidRPr="004942E9">
        <w:rPr>
          <w:rFonts w:ascii="Roboto" w:hAnsi="Roboto" w:cs="Times New Roman"/>
        </w:rPr>
        <w:t xml:space="preserve"> of creating</w:t>
      </w:r>
      <w:r w:rsidR="00167396">
        <w:rPr>
          <w:rFonts w:ascii="Roboto" w:hAnsi="Roboto" w:cs="Times New Roman"/>
        </w:rPr>
        <w:t xml:space="preserve"> lasting</w:t>
      </w:r>
      <w:r w:rsidRPr="004942E9">
        <w:rPr>
          <w:rFonts w:ascii="Roboto" w:hAnsi="Roboto" w:cs="Times New Roman"/>
        </w:rPr>
        <w:t xml:space="preserve"> change in organisations with ‘institutional and cultural’ legacies as entrenched as those within parliaments. </w:t>
      </w:r>
    </w:p>
    <w:p w14:paraId="0B439EE9" w14:textId="77777777" w:rsidR="0077356D" w:rsidRDefault="0077356D" w:rsidP="002D1FCF">
      <w:pPr>
        <w:rPr>
          <w:rFonts w:ascii="Roboto" w:hAnsi="Roboto" w:cs="Times New Roman"/>
        </w:rPr>
      </w:pPr>
    </w:p>
    <w:p w14:paraId="09A95620" w14:textId="1E186D3F" w:rsidR="00155EA8" w:rsidRPr="008F4864" w:rsidRDefault="00AA5B7B" w:rsidP="002D1FCF">
      <w:pPr>
        <w:rPr>
          <w:rFonts w:ascii="Roboto" w:hAnsi="Roboto" w:cs="Times New Roman"/>
        </w:rPr>
      </w:pPr>
      <w:r>
        <w:rPr>
          <w:rFonts w:ascii="Roboto" w:hAnsi="Roboto"/>
        </w:rPr>
        <w:t>The unique governance structures</w:t>
      </w:r>
      <w:r w:rsidR="00477E9D">
        <w:rPr>
          <w:rFonts w:ascii="Roboto" w:hAnsi="Roboto"/>
        </w:rPr>
        <w:t xml:space="preserve"> of NSW Parliament</w:t>
      </w:r>
      <w:r>
        <w:rPr>
          <w:rFonts w:ascii="Roboto" w:hAnsi="Roboto"/>
        </w:rPr>
        <w:t>, where authority within the institution is diffuse</w:t>
      </w:r>
      <w:r w:rsidR="00E04AD7">
        <w:rPr>
          <w:rFonts w:ascii="Roboto" w:hAnsi="Roboto"/>
        </w:rPr>
        <w:t>d</w:t>
      </w:r>
      <w:r>
        <w:rPr>
          <w:rFonts w:ascii="Roboto" w:hAnsi="Roboto"/>
        </w:rPr>
        <w:t xml:space="preserve"> across three distinct departments and political parties,</w:t>
      </w:r>
      <w:r>
        <w:rPr>
          <w:rStyle w:val="FootnoteReference"/>
          <w:rFonts w:ascii="Roboto" w:hAnsi="Roboto"/>
        </w:rPr>
        <w:footnoteReference w:id="24"/>
      </w:r>
      <w:r>
        <w:rPr>
          <w:rFonts w:ascii="Roboto" w:hAnsi="Roboto"/>
        </w:rPr>
        <w:t xml:space="preserve">presents challenges </w:t>
      </w:r>
      <w:r w:rsidR="0056539B">
        <w:rPr>
          <w:rFonts w:ascii="Roboto" w:hAnsi="Roboto"/>
        </w:rPr>
        <w:t>for</w:t>
      </w:r>
      <w:r w:rsidR="00F94DDA">
        <w:rPr>
          <w:rFonts w:ascii="Roboto" w:hAnsi="Roboto"/>
        </w:rPr>
        <w:t xml:space="preserve"> </w:t>
      </w:r>
      <w:r w:rsidR="00D72E39">
        <w:rPr>
          <w:rFonts w:ascii="Roboto" w:hAnsi="Roboto"/>
        </w:rPr>
        <w:t>accountability</w:t>
      </w:r>
      <w:r w:rsidR="00E84C67">
        <w:rPr>
          <w:rFonts w:ascii="Roboto" w:hAnsi="Roboto"/>
        </w:rPr>
        <w:t xml:space="preserve"> </w:t>
      </w:r>
      <w:r w:rsidR="0056539B">
        <w:rPr>
          <w:rFonts w:ascii="Roboto" w:hAnsi="Roboto"/>
        </w:rPr>
        <w:t>and effective interventions to address</w:t>
      </w:r>
      <w:r w:rsidR="00E84C67">
        <w:rPr>
          <w:rFonts w:ascii="Roboto" w:hAnsi="Roboto"/>
        </w:rPr>
        <w:t xml:space="preserve"> harmful practices. </w:t>
      </w:r>
      <w:r w:rsidR="00FF7557">
        <w:rPr>
          <w:rFonts w:ascii="Roboto" w:hAnsi="Roboto" w:cs="Times New Roman"/>
        </w:rPr>
        <w:t xml:space="preserve">Despite these challenges, </w:t>
      </w:r>
      <w:r w:rsidR="00072203">
        <w:rPr>
          <w:rFonts w:ascii="Roboto" w:hAnsi="Roboto" w:cs="Times New Roman"/>
        </w:rPr>
        <w:t xml:space="preserve">much work has </w:t>
      </w:r>
      <w:r w:rsidR="0056539B">
        <w:rPr>
          <w:rFonts w:ascii="Roboto" w:hAnsi="Roboto" w:cs="Times New Roman"/>
        </w:rPr>
        <w:t xml:space="preserve">been delivered </w:t>
      </w:r>
      <w:r w:rsidR="0092205D">
        <w:rPr>
          <w:rFonts w:ascii="Roboto" w:hAnsi="Roboto" w:cs="Times New Roman"/>
        </w:rPr>
        <w:t xml:space="preserve">to </w:t>
      </w:r>
      <w:r w:rsidR="00D55377">
        <w:rPr>
          <w:rFonts w:ascii="Roboto" w:hAnsi="Roboto" w:cs="Times New Roman"/>
        </w:rPr>
        <w:t xml:space="preserve">support </w:t>
      </w:r>
      <w:r w:rsidR="0092205D">
        <w:rPr>
          <w:rFonts w:ascii="Roboto" w:hAnsi="Roboto" w:cs="Times New Roman"/>
        </w:rPr>
        <w:t>achiev</w:t>
      </w:r>
      <w:r w:rsidR="00D55377">
        <w:rPr>
          <w:rFonts w:ascii="Roboto" w:hAnsi="Roboto" w:cs="Times New Roman"/>
        </w:rPr>
        <w:t>ing a more</w:t>
      </w:r>
      <w:r w:rsidR="0092205D">
        <w:rPr>
          <w:rFonts w:ascii="Roboto" w:hAnsi="Roboto" w:cs="Times New Roman"/>
        </w:rPr>
        <w:t xml:space="preserve"> safe, </w:t>
      </w:r>
      <w:r w:rsidR="00D55377">
        <w:rPr>
          <w:rFonts w:ascii="Roboto" w:hAnsi="Roboto" w:cs="Times New Roman"/>
        </w:rPr>
        <w:t>inclusive,</w:t>
      </w:r>
      <w:r w:rsidR="0092205D">
        <w:rPr>
          <w:rFonts w:ascii="Roboto" w:hAnsi="Roboto" w:cs="Times New Roman"/>
        </w:rPr>
        <w:t xml:space="preserve"> and respectful work environment</w:t>
      </w:r>
      <w:r w:rsidR="00D55377">
        <w:rPr>
          <w:rFonts w:ascii="Roboto" w:hAnsi="Roboto" w:cs="Times New Roman"/>
        </w:rPr>
        <w:t>.</w:t>
      </w:r>
      <w:r w:rsidR="008F4864">
        <w:rPr>
          <w:rFonts w:ascii="Roboto" w:hAnsi="Roboto" w:cs="Times New Roman"/>
        </w:rPr>
        <w:t xml:space="preserve"> </w:t>
      </w:r>
      <w:r w:rsidR="00155EA8">
        <w:rPr>
          <w:rFonts w:ascii="Roboto" w:hAnsi="Roboto" w:cs="Times New Roman"/>
        </w:rPr>
        <w:t>In response to the review the following outlines some of the work that has been completed</w:t>
      </w:r>
      <w:r w:rsidR="00A14102">
        <w:rPr>
          <w:rFonts w:ascii="Roboto" w:hAnsi="Roboto" w:cs="Times New Roman"/>
        </w:rPr>
        <w:t>:</w:t>
      </w:r>
    </w:p>
    <w:p w14:paraId="50E1A71E" w14:textId="77777777" w:rsidR="0056539B" w:rsidRDefault="0056539B" w:rsidP="0056539B">
      <w:pPr>
        <w:rPr>
          <w:rFonts w:ascii="Roboto" w:hAnsi="Roboto" w:cs="Times New Roman"/>
        </w:rPr>
      </w:pPr>
    </w:p>
    <w:p w14:paraId="5B20E89D" w14:textId="77777777" w:rsidR="00A14102" w:rsidRDefault="002C1EB5" w:rsidP="0056539B">
      <w:pPr>
        <w:pStyle w:val="ListParagraph"/>
        <w:numPr>
          <w:ilvl w:val="0"/>
          <w:numId w:val="5"/>
        </w:numPr>
        <w:rPr>
          <w:rFonts w:ascii="Roboto" w:hAnsi="Roboto" w:cs="Times New Roman"/>
        </w:rPr>
      </w:pPr>
      <w:r w:rsidRPr="00A14102">
        <w:rPr>
          <w:rFonts w:ascii="Roboto" w:hAnsi="Roboto" w:cs="Times New Roman"/>
        </w:rPr>
        <w:t xml:space="preserve">A </w:t>
      </w:r>
      <w:r w:rsidR="00815F6F" w:rsidRPr="00A14102">
        <w:rPr>
          <w:rFonts w:ascii="Roboto" w:hAnsi="Roboto" w:cs="Times New Roman"/>
        </w:rPr>
        <w:t xml:space="preserve">consolidated </w:t>
      </w:r>
      <w:r w:rsidRPr="00A14102">
        <w:rPr>
          <w:rFonts w:ascii="Roboto" w:hAnsi="Roboto" w:cs="Times New Roman"/>
        </w:rPr>
        <w:t>policy</w:t>
      </w:r>
      <w:r w:rsidR="008F4864" w:rsidRPr="00A14102">
        <w:rPr>
          <w:rFonts w:ascii="Roboto" w:hAnsi="Roboto" w:cs="Times New Roman"/>
        </w:rPr>
        <w:t>,</w:t>
      </w:r>
      <w:r w:rsidRPr="00A14102">
        <w:rPr>
          <w:rFonts w:ascii="Roboto" w:hAnsi="Roboto" w:cs="Times New Roman"/>
        </w:rPr>
        <w:t xml:space="preserve"> </w:t>
      </w:r>
      <w:r w:rsidR="006C14AE" w:rsidRPr="00A14102">
        <w:rPr>
          <w:rFonts w:ascii="Roboto" w:hAnsi="Roboto" w:cs="Times New Roman"/>
          <w:i/>
          <w:iCs/>
        </w:rPr>
        <w:t>P</w:t>
      </w:r>
      <w:r w:rsidRPr="00A14102">
        <w:rPr>
          <w:rFonts w:ascii="Roboto" w:hAnsi="Roboto" w:cs="Times New Roman"/>
          <w:i/>
          <w:iCs/>
        </w:rPr>
        <w:t xml:space="preserve">revention of </w:t>
      </w:r>
      <w:r w:rsidR="006C14AE" w:rsidRPr="00A14102">
        <w:rPr>
          <w:rFonts w:ascii="Roboto" w:hAnsi="Roboto" w:cs="Times New Roman"/>
          <w:i/>
          <w:iCs/>
        </w:rPr>
        <w:t>B</w:t>
      </w:r>
      <w:r w:rsidRPr="00A14102">
        <w:rPr>
          <w:rFonts w:ascii="Roboto" w:hAnsi="Roboto" w:cs="Times New Roman"/>
          <w:i/>
          <w:iCs/>
        </w:rPr>
        <w:t xml:space="preserve">ullying, </w:t>
      </w:r>
      <w:r w:rsidR="006C14AE" w:rsidRPr="00A14102">
        <w:rPr>
          <w:rFonts w:ascii="Roboto" w:hAnsi="Roboto" w:cs="Times New Roman"/>
          <w:i/>
          <w:iCs/>
        </w:rPr>
        <w:t>H</w:t>
      </w:r>
      <w:r w:rsidRPr="00A14102">
        <w:rPr>
          <w:rFonts w:ascii="Roboto" w:hAnsi="Roboto" w:cs="Times New Roman"/>
          <w:i/>
          <w:iCs/>
        </w:rPr>
        <w:t xml:space="preserve">arassment and </w:t>
      </w:r>
      <w:r w:rsidR="00AB6897" w:rsidRPr="00A14102">
        <w:rPr>
          <w:rFonts w:ascii="Roboto" w:hAnsi="Roboto" w:cs="Times New Roman"/>
          <w:i/>
          <w:iCs/>
        </w:rPr>
        <w:t>S</w:t>
      </w:r>
      <w:r w:rsidRPr="00A14102">
        <w:rPr>
          <w:rFonts w:ascii="Roboto" w:hAnsi="Roboto" w:cs="Times New Roman"/>
          <w:i/>
          <w:iCs/>
        </w:rPr>
        <w:t xml:space="preserve">exual </w:t>
      </w:r>
      <w:r w:rsidR="00AB6897" w:rsidRPr="00A14102">
        <w:rPr>
          <w:rFonts w:ascii="Roboto" w:hAnsi="Roboto" w:cs="Times New Roman"/>
          <w:i/>
          <w:iCs/>
        </w:rPr>
        <w:t>H</w:t>
      </w:r>
      <w:r w:rsidRPr="00A14102">
        <w:rPr>
          <w:rFonts w:ascii="Roboto" w:hAnsi="Roboto" w:cs="Times New Roman"/>
          <w:i/>
          <w:iCs/>
        </w:rPr>
        <w:t>arassment</w:t>
      </w:r>
      <w:r w:rsidR="008F4864" w:rsidRPr="00A14102">
        <w:rPr>
          <w:rFonts w:ascii="Roboto" w:hAnsi="Roboto" w:cs="Times New Roman"/>
        </w:rPr>
        <w:t xml:space="preserve">, </w:t>
      </w:r>
      <w:r w:rsidRPr="00A14102">
        <w:rPr>
          <w:rFonts w:ascii="Roboto" w:hAnsi="Roboto" w:cs="Times New Roman"/>
        </w:rPr>
        <w:t>has been introduced</w:t>
      </w:r>
      <w:r w:rsidR="00205A54" w:rsidRPr="00A14102">
        <w:rPr>
          <w:rFonts w:ascii="Roboto" w:hAnsi="Roboto" w:cs="Times New Roman"/>
        </w:rPr>
        <w:t xml:space="preserve"> that specifically addresses leadership responsibility to </w:t>
      </w:r>
      <w:r w:rsidR="00260EB7" w:rsidRPr="00A14102">
        <w:rPr>
          <w:rFonts w:ascii="Roboto" w:hAnsi="Roboto" w:cs="Times New Roman"/>
        </w:rPr>
        <w:t>be proactive in prevention, and lay</w:t>
      </w:r>
      <w:r w:rsidR="00B739A0" w:rsidRPr="00A14102">
        <w:rPr>
          <w:rFonts w:ascii="Roboto" w:hAnsi="Roboto" w:cs="Times New Roman"/>
        </w:rPr>
        <w:t>ing</w:t>
      </w:r>
      <w:r w:rsidR="00260EB7" w:rsidRPr="00A14102">
        <w:rPr>
          <w:rFonts w:ascii="Roboto" w:hAnsi="Roboto" w:cs="Times New Roman"/>
        </w:rPr>
        <w:t xml:space="preserve"> out clear </w:t>
      </w:r>
      <w:r w:rsidR="00525BAA" w:rsidRPr="00A14102">
        <w:rPr>
          <w:rFonts w:ascii="Roboto" w:hAnsi="Roboto" w:cs="Times New Roman"/>
        </w:rPr>
        <w:t xml:space="preserve">reporting pathways and support for staff who </w:t>
      </w:r>
      <w:r w:rsidR="006211E7" w:rsidRPr="00A14102">
        <w:rPr>
          <w:rFonts w:ascii="Roboto" w:hAnsi="Roboto" w:cs="Times New Roman"/>
        </w:rPr>
        <w:t>report.</w:t>
      </w:r>
    </w:p>
    <w:p w14:paraId="4E0E27AF" w14:textId="77777777" w:rsidR="00A14102" w:rsidRDefault="00A14102" w:rsidP="00A14102">
      <w:pPr>
        <w:pStyle w:val="ListParagraph"/>
        <w:rPr>
          <w:rFonts w:ascii="Roboto" w:hAnsi="Roboto" w:cs="Times New Roman"/>
        </w:rPr>
      </w:pPr>
    </w:p>
    <w:p w14:paraId="5BDF7137" w14:textId="77777777" w:rsidR="00A14102" w:rsidRDefault="006211E7" w:rsidP="0056539B">
      <w:pPr>
        <w:pStyle w:val="ListParagraph"/>
        <w:numPr>
          <w:ilvl w:val="0"/>
          <w:numId w:val="5"/>
        </w:numPr>
        <w:rPr>
          <w:rFonts w:ascii="Roboto" w:hAnsi="Roboto" w:cs="Times New Roman"/>
        </w:rPr>
      </w:pPr>
      <w:r w:rsidRPr="00A14102">
        <w:rPr>
          <w:rFonts w:ascii="Roboto" w:hAnsi="Roboto" w:cs="Times New Roman"/>
        </w:rPr>
        <w:lastRenderedPageBreak/>
        <w:t>A two-part training program on appropriate workplace behaviour, incorporating diversity &amp; inclusion considerations and trauma-informed response to complaints, has been introduced for all</w:t>
      </w:r>
      <w:r w:rsidR="00734CD3" w:rsidRPr="00A14102">
        <w:rPr>
          <w:rFonts w:ascii="Roboto" w:hAnsi="Roboto" w:cs="Times New Roman"/>
        </w:rPr>
        <w:t xml:space="preserve"> departmental</w:t>
      </w:r>
      <w:r w:rsidRPr="00A14102">
        <w:rPr>
          <w:rFonts w:ascii="Roboto" w:hAnsi="Roboto" w:cs="Times New Roman"/>
        </w:rPr>
        <w:t xml:space="preserve"> staff</w:t>
      </w:r>
      <w:r w:rsidR="00734CD3" w:rsidRPr="00A14102">
        <w:rPr>
          <w:rFonts w:ascii="Roboto" w:hAnsi="Roboto" w:cs="Times New Roman"/>
        </w:rPr>
        <w:t xml:space="preserve">, </w:t>
      </w:r>
      <w:r w:rsidR="0092205D" w:rsidRPr="00A14102">
        <w:rPr>
          <w:rFonts w:ascii="Roboto" w:hAnsi="Roboto" w:cs="Times New Roman"/>
        </w:rPr>
        <w:t>m</w:t>
      </w:r>
      <w:r w:rsidR="00734CD3" w:rsidRPr="00A14102">
        <w:rPr>
          <w:rFonts w:ascii="Roboto" w:hAnsi="Roboto" w:cs="Times New Roman"/>
        </w:rPr>
        <w:t>ember</w:t>
      </w:r>
      <w:r w:rsidR="0092205D" w:rsidRPr="00A14102">
        <w:rPr>
          <w:rFonts w:ascii="Roboto" w:hAnsi="Roboto" w:cs="Times New Roman"/>
        </w:rPr>
        <w:t>’s</w:t>
      </w:r>
      <w:r w:rsidR="00734CD3" w:rsidRPr="00A14102">
        <w:rPr>
          <w:rFonts w:ascii="Roboto" w:hAnsi="Roboto" w:cs="Times New Roman"/>
        </w:rPr>
        <w:t xml:space="preserve"> </w:t>
      </w:r>
      <w:proofErr w:type="gramStart"/>
      <w:r w:rsidR="00734CD3" w:rsidRPr="00A14102">
        <w:rPr>
          <w:rFonts w:ascii="Roboto" w:hAnsi="Roboto" w:cs="Times New Roman"/>
        </w:rPr>
        <w:t>staff</w:t>
      </w:r>
      <w:proofErr w:type="gramEnd"/>
      <w:r w:rsidRPr="00A14102">
        <w:rPr>
          <w:rFonts w:ascii="Roboto" w:hAnsi="Roboto" w:cs="Times New Roman"/>
        </w:rPr>
        <w:t xml:space="preserve"> and </w:t>
      </w:r>
      <w:r w:rsidR="0092205D" w:rsidRPr="00A14102">
        <w:rPr>
          <w:rFonts w:ascii="Roboto" w:hAnsi="Roboto" w:cs="Times New Roman"/>
        </w:rPr>
        <w:t>m</w:t>
      </w:r>
      <w:r w:rsidRPr="00A14102">
        <w:rPr>
          <w:rFonts w:ascii="Roboto" w:hAnsi="Roboto" w:cs="Times New Roman"/>
        </w:rPr>
        <w:t xml:space="preserve">embers. Feedback on the training has been consistently very positive. </w:t>
      </w:r>
    </w:p>
    <w:p w14:paraId="2607312F" w14:textId="77777777" w:rsidR="00A14102" w:rsidRPr="00A14102" w:rsidRDefault="00A14102" w:rsidP="00A14102">
      <w:pPr>
        <w:pStyle w:val="ListParagraph"/>
        <w:rPr>
          <w:rFonts w:ascii="Roboto" w:hAnsi="Roboto" w:cs="Times New Roman"/>
        </w:rPr>
      </w:pPr>
    </w:p>
    <w:p w14:paraId="599FACFA" w14:textId="77777777" w:rsidR="00A14102" w:rsidRDefault="002C1EB5" w:rsidP="00A14102">
      <w:pPr>
        <w:pStyle w:val="ListParagraph"/>
        <w:numPr>
          <w:ilvl w:val="0"/>
          <w:numId w:val="5"/>
        </w:numPr>
        <w:rPr>
          <w:rFonts w:ascii="Roboto" w:hAnsi="Roboto" w:cs="Times New Roman"/>
        </w:rPr>
      </w:pPr>
      <w:r w:rsidRPr="00A14102">
        <w:rPr>
          <w:rFonts w:ascii="Roboto" w:hAnsi="Roboto" w:cs="Times New Roman"/>
        </w:rPr>
        <w:t>New Employee Assistance Programs</w:t>
      </w:r>
      <w:r w:rsidR="00086704" w:rsidRPr="00A14102">
        <w:rPr>
          <w:rFonts w:ascii="Roboto" w:hAnsi="Roboto" w:cs="Times New Roman"/>
        </w:rPr>
        <w:t xml:space="preserve"> </w:t>
      </w:r>
      <w:r w:rsidR="00E86E6F" w:rsidRPr="00A14102">
        <w:rPr>
          <w:rFonts w:ascii="Roboto" w:hAnsi="Roboto" w:cs="Times New Roman"/>
        </w:rPr>
        <w:t>are now in place that offer tailored</w:t>
      </w:r>
      <w:r w:rsidR="008F4864" w:rsidRPr="00A14102">
        <w:rPr>
          <w:rFonts w:ascii="Roboto" w:hAnsi="Roboto" w:cs="Times New Roman"/>
        </w:rPr>
        <w:t xml:space="preserve"> </w:t>
      </w:r>
      <w:r w:rsidR="00E86E6F" w:rsidRPr="00A14102">
        <w:rPr>
          <w:rFonts w:ascii="Roboto" w:hAnsi="Roboto" w:cs="Times New Roman"/>
        </w:rPr>
        <w:t>support to members of the LGBTQIA+ community, and Aboriginal and Torres Strait Islander</w:t>
      </w:r>
      <w:r w:rsidR="0092205D" w:rsidRPr="00A14102">
        <w:rPr>
          <w:rFonts w:ascii="Roboto" w:hAnsi="Roboto" w:cs="Times New Roman"/>
        </w:rPr>
        <w:t>s</w:t>
      </w:r>
      <w:r w:rsidR="00A03C3C" w:rsidRPr="00A14102">
        <w:rPr>
          <w:rFonts w:ascii="Roboto" w:hAnsi="Roboto" w:cs="Times New Roman"/>
        </w:rPr>
        <w:t>.</w:t>
      </w:r>
    </w:p>
    <w:p w14:paraId="5DBBE1CA" w14:textId="77777777" w:rsidR="00A14102" w:rsidRPr="00A14102" w:rsidRDefault="00A14102" w:rsidP="00A14102">
      <w:pPr>
        <w:pStyle w:val="ListParagraph"/>
        <w:rPr>
          <w:rFonts w:ascii="Roboto" w:hAnsi="Roboto" w:cs="Times New Roman"/>
        </w:rPr>
      </w:pPr>
    </w:p>
    <w:p w14:paraId="0DD045BB" w14:textId="77777777" w:rsidR="00A14102" w:rsidRDefault="008F4864" w:rsidP="00D96380">
      <w:pPr>
        <w:pStyle w:val="ListParagraph"/>
        <w:numPr>
          <w:ilvl w:val="0"/>
          <w:numId w:val="5"/>
        </w:numPr>
        <w:rPr>
          <w:rFonts w:ascii="Roboto" w:hAnsi="Roboto" w:cs="Times New Roman"/>
        </w:rPr>
      </w:pPr>
      <w:r w:rsidRPr="00A14102">
        <w:rPr>
          <w:rFonts w:ascii="Roboto" w:hAnsi="Roboto" w:cs="Times New Roman"/>
        </w:rPr>
        <w:t xml:space="preserve">A </w:t>
      </w:r>
      <w:r w:rsidR="007A67C9" w:rsidRPr="00A14102">
        <w:rPr>
          <w:rFonts w:ascii="Roboto" w:hAnsi="Roboto" w:cs="Times New Roman"/>
        </w:rPr>
        <w:t xml:space="preserve">LGBTQIA+ </w:t>
      </w:r>
      <w:r w:rsidR="006D5F45" w:rsidRPr="00A14102">
        <w:rPr>
          <w:rFonts w:ascii="Roboto" w:hAnsi="Roboto" w:cs="Times New Roman"/>
        </w:rPr>
        <w:t>T</w:t>
      </w:r>
      <w:r w:rsidR="007A67C9" w:rsidRPr="00A14102">
        <w:rPr>
          <w:rFonts w:ascii="Roboto" w:hAnsi="Roboto" w:cs="Times New Roman"/>
        </w:rPr>
        <w:t xml:space="preserve">askforce </w:t>
      </w:r>
      <w:r w:rsidR="00A14102">
        <w:rPr>
          <w:rFonts w:ascii="Roboto" w:hAnsi="Roboto" w:cs="Times New Roman"/>
        </w:rPr>
        <w:t xml:space="preserve">has been established to </w:t>
      </w:r>
      <w:r w:rsidR="00CD0250" w:rsidRPr="00A14102">
        <w:rPr>
          <w:rFonts w:ascii="Roboto" w:hAnsi="Roboto" w:cs="Times New Roman"/>
        </w:rPr>
        <w:t>develop</w:t>
      </w:r>
      <w:r w:rsidR="007E15BB" w:rsidRPr="00A14102">
        <w:rPr>
          <w:rFonts w:ascii="Roboto" w:hAnsi="Roboto" w:cs="Times New Roman"/>
        </w:rPr>
        <w:t xml:space="preserve"> a </w:t>
      </w:r>
      <w:r w:rsidR="00CD0250" w:rsidRPr="00A14102">
        <w:rPr>
          <w:rFonts w:ascii="Roboto" w:hAnsi="Roboto" w:cs="Times New Roman"/>
        </w:rPr>
        <w:t xml:space="preserve">tailored </w:t>
      </w:r>
      <w:r w:rsidR="007E15BB" w:rsidRPr="00A14102">
        <w:rPr>
          <w:rFonts w:ascii="Roboto" w:hAnsi="Roboto" w:cs="Times New Roman"/>
        </w:rPr>
        <w:t xml:space="preserve">strategy </w:t>
      </w:r>
      <w:r w:rsidR="00CD0250" w:rsidRPr="00A14102">
        <w:rPr>
          <w:rFonts w:ascii="Roboto" w:hAnsi="Roboto" w:cs="Times New Roman"/>
        </w:rPr>
        <w:t>to enhance safety</w:t>
      </w:r>
      <w:r w:rsidR="006D5F45" w:rsidRPr="00A14102">
        <w:rPr>
          <w:rFonts w:ascii="Roboto" w:hAnsi="Roboto" w:cs="Times New Roman"/>
        </w:rPr>
        <w:t xml:space="preserve"> and</w:t>
      </w:r>
      <w:r w:rsidR="00CD0250" w:rsidRPr="00A14102">
        <w:rPr>
          <w:rFonts w:ascii="Roboto" w:hAnsi="Roboto" w:cs="Times New Roman"/>
        </w:rPr>
        <w:t xml:space="preserve"> reduce risk </w:t>
      </w:r>
      <w:r w:rsidR="00664637" w:rsidRPr="00A14102">
        <w:rPr>
          <w:rFonts w:ascii="Roboto" w:hAnsi="Roboto" w:cs="Times New Roman"/>
        </w:rPr>
        <w:t>for LGBTQIA+</w:t>
      </w:r>
      <w:r w:rsidR="0092205D" w:rsidRPr="00A14102">
        <w:rPr>
          <w:rFonts w:ascii="Roboto" w:hAnsi="Roboto" w:cs="Times New Roman"/>
        </w:rPr>
        <w:t xml:space="preserve"> </w:t>
      </w:r>
      <w:r w:rsidR="006D5F45" w:rsidRPr="00A14102">
        <w:rPr>
          <w:rFonts w:ascii="Roboto" w:hAnsi="Roboto" w:cs="Times New Roman"/>
        </w:rPr>
        <w:t xml:space="preserve">members and </w:t>
      </w:r>
      <w:r w:rsidR="0092205D" w:rsidRPr="00A14102">
        <w:rPr>
          <w:rFonts w:ascii="Roboto" w:hAnsi="Roboto" w:cs="Times New Roman"/>
        </w:rPr>
        <w:t>staff</w:t>
      </w:r>
      <w:r w:rsidR="00664637" w:rsidRPr="00A14102">
        <w:rPr>
          <w:rFonts w:ascii="Roboto" w:hAnsi="Roboto" w:cs="Times New Roman"/>
        </w:rPr>
        <w:t>.</w:t>
      </w:r>
    </w:p>
    <w:p w14:paraId="01FA4E0D" w14:textId="77777777" w:rsidR="00A257CA" w:rsidRPr="00A257CA" w:rsidRDefault="00A257CA" w:rsidP="00A257CA">
      <w:pPr>
        <w:pStyle w:val="ListParagraph"/>
        <w:rPr>
          <w:rFonts w:ascii="Roboto" w:hAnsi="Roboto" w:cs="Times New Roman"/>
        </w:rPr>
      </w:pPr>
    </w:p>
    <w:p w14:paraId="220A6924" w14:textId="77777777" w:rsidR="00060652" w:rsidRDefault="00A257CA" w:rsidP="00060652">
      <w:pPr>
        <w:pStyle w:val="ListParagraph"/>
        <w:numPr>
          <w:ilvl w:val="0"/>
          <w:numId w:val="5"/>
        </w:numPr>
        <w:rPr>
          <w:rFonts w:ascii="Roboto" w:hAnsi="Roboto" w:cs="Times New Roman"/>
        </w:rPr>
      </w:pPr>
      <w:r>
        <w:rPr>
          <w:rFonts w:ascii="Roboto" w:hAnsi="Roboto" w:cs="Times New Roman"/>
        </w:rPr>
        <w:t xml:space="preserve">The Parliamentary Advisory Group on Bullying, Harassment and Sexual </w:t>
      </w:r>
      <w:r w:rsidR="00271061">
        <w:rPr>
          <w:rFonts w:ascii="Roboto" w:hAnsi="Roboto" w:cs="Times New Roman"/>
        </w:rPr>
        <w:t xml:space="preserve">Harassment has been reestablished with an independent chair. The group includes representatives from across the parliamentary community and was establish by the Parliamentary Executive Group  to advise them on </w:t>
      </w:r>
      <w:r w:rsidR="007A60D9">
        <w:rPr>
          <w:rFonts w:ascii="Roboto" w:hAnsi="Roboto" w:cs="Times New Roman"/>
        </w:rPr>
        <w:t>relevant matters</w:t>
      </w:r>
      <w:r w:rsidR="005F4F6C">
        <w:rPr>
          <w:rFonts w:ascii="Roboto" w:hAnsi="Roboto" w:cs="Times New Roman"/>
        </w:rPr>
        <w:t xml:space="preserve"> by</w:t>
      </w:r>
      <w:r w:rsidR="007A60D9">
        <w:rPr>
          <w:rFonts w:ascii="Roboto" w:hAnsi="Roboto" w:cs="Times New Roman"/>
        </w:rPr>
        <w:t xml:space="preserve"> drawing on </w:t>
      </w:r>
      <w:r w:rsidR="005F4F6C">
        <w:rPr>
          <w:rFonts w:ascii="Roboto" w:hAnsi="Roboto" w:cs="Times New Roman"/>
        </w:rPr>
        <w:t>diverse perspectives and experiences from across the parliamentary community.</w:t>
      </w:r>
    </w:p>
    <w:p w14:paraId="04703BFC" w14:textId="77777777" w:rsidR="00060652" w:rsidRPr="00060652" w:rsidRDefault="00060652" w:rsidP="00060652">
      <w:pPr>
        <w:pStyle w:val="ListParagraph"/>
        <w:rPr>
          <w:rFonts w:ascii="Roboto" w:hAnsi="Roboto" w:cs="Times New Roman"/>
        </w:rPr>
      </w:pPr>
    </w:p>
    <w:p w14:paraId="0FA68633" w14:textId="21848664" w:rsidR="003E47E5" w:rsidRPr="00217D0B" w:rsidRDefault="00060652" w:rsidP="00060652">
      <w:pPr>
        <w:rPr>
          <w:rFonts w:ascii="Roboto" w:hAnsi="Roboto" w:cs="Times New Roman"/>
        </w:rPr>
      </w:pPr>
      <w:r w:rsidRPr="00060652">
        <w:rPr>
          <w:rFonts w:ascii="Roboto" w:hAnsi="Roboto" w:cs="Times New Roman"/>
        </w:rPr>
        <w:t>In addition</w:t>
      </w:r>
      <w:r>
        <w:rPr>
          <w:rFonts w:ascii="Roboto" w:hAnsi="Roboto" w:cs="Times New Roman"/>
        </w:rPr>
        <w:t>,</w:t>
      </w:r>
      <w:r w:rsidRPr="00060652">
        <w:rPr>
          <w:rFonts w:ascii="Roboto" w:hAnsi="Roboto" w:cs="Times New Roman"/>
        </w:rPr>
        <w:t xml:space="preserve"> </w:t>
      </w:r>
      <w:r w:rsidR="00BB737D">
        <w:rPr>
          <w:rFonts w:ascii="Roboto" w:hAnsi="Roboto" w:cs="Times New Roman"/>
        </w:rPr>
        <w:t xml:space="preserve">prior to the review </w:t>
      </w:r>
      <w:r w:rsidRPr="00060652">
        <w:rPr>
          <w:rStyle w:val="cf01"/>
          <w:rFonts w:ascii="Roboto" w:hAnsi="Roboto"/>
          <w:sz w:val="22"/>
          <w:szCs w:val="22"/>
        </w:rPr>
        <w:t xml:space="preserve">work was already underway to establish the function of </w:t>
      </w:r>
      <w:r w:rsidRPr="00060652">
        <w:rPr>
          <w:rFonts w:ascii="Roboto" w:hAnsi="Roboto" w:cs="Times New Roman"/>
        </w:rPr>
        <w:t>an</w:t>
      </w:r>
      <w:r w:rsidRPr="00217D0B">
        <w:rPr>
          <w:rFonts w:ascii="Roboto" w:hAnsi="Roboto" w:cs="Times New Roman"/>
        </w:rPr>
        <w:t xml:space="preserve"> Independent Complaints Officer</w:t>
      </w:r>
      <w:r w:rsidR="00BB737D">
        <w:rPr>
          <w:rFonts w:ascii="Roboto" w:hAnsi="Roboto" w:cs="Times New Roman"/>
        </w:rPr>
        <w:t xml:space="preserve"> </w:t>
      </w:r>
      <w:r w:rsidRPr="00217D0B">
        <w:rPr>
          <w:rFonts w:ascii="Roboto" w:hAnsi="Roboto" w:cs="Times New Roman"/>
        </w:rPr>
        <w:t>(ICO)</w:t>
      </w:r>
      <w:r w:rsidR="00BB737D">
        <w:rPr>
          <w:rFonts w:ascii="Roboto" w:hAnsi="Roboto" w:cs="Times New Roman"/>
        </w:rPr>
        <w:t>,</w:t>
      </w:r>
      <w:r>
        <w:rPr>
          <w:rFonts w:ascii="Roboto" w:hAnsi="Roboto" w:cs="Times New Roman"/>
        </w:rPr>
        <w:t xml:space="preserve"> however</w:t>
      </w:r>
      <w:r w:rsidRPr="00060652">
        <w:rPr>
          <w:rStyle w:val="cf01"/>
          <w:rFonts w:ascii="Roboto" w:hAnsi="Roboto"/>
          <w:sz w:val="22"/>
          <w:szCs w:val="22"/>
        </w:rPr>
        <w:t xml:space="preserve"> Broderick underscored the importance of its introduction</w:t>
      </w:r>
      <w:r w:rsidRPr="00060652">
        <w:rPr>
          <w:rFonts w:ascii="Roboto" w:hAnsi="Roboto" w:cs="Times New Roman"/>
        </w:rPr>
        <w:t xml:space="preserve"> which occurred in 2022</w:t>
      </w:r>
      <w:r w:rsidR="0092205D" w:rsidRPr="00217D0B">
        <w:rPr>
          <w:rFonts w:ascii="Roboto" w:hAnsi="Roboto" w:cs="Times New Roman"/>
        </w:rPr>
        <w:t>. The I</w:t>
      </w:r>
      <w:r w:rsidR="00713DB6" w:rsidRPr="00217D0B">
        <w:rPr>
          <w:rFonts w:ascii="Roboto" w:hAnsi="Roboto" w:cs="Times New Roman"/>
        </w:rPr>
        <w:t>CO</w:t>
      </w:r>
      <w:r w:rsidR="0092205D" w:rsidRPr="00217D0B">
        <w:rPr>
          <w:rFonts w:ascii="Roboto" w:hAnsi="Roboto" w:cs="Times New Roman"/>
        </w:rPr>
        <w:t xml:space="preserve"> is responsible</w:t>
      </w:r>
      <w:r w:rsidR="006D5F45" w:rsidRPr="00217D0B">
        <w:rPr>
          <w:rFonts w:ascii="Roboto" w:hAnsi="Roboto" w:cs="Times New Roman"/>
        </w:rPr>
        <w:t xml:space="preserve"> for i</w:t>
      </w:r>
      <w:r w:rsidR="0092205D" w:rsidRPr="00217D0B">
        <w:rPr>
          <w:rFonts w:ascii="Roboto" w:hAnsi="Roboto" w:cs="Times New Roman"/>
        </w:rPr>
        <w:t>nvestigat</w:t>
      </w:r>
      <w:r w:rsidR="006D5F45" w:rsidRPr="00217D0B">
        <w:rPr>
          <w:rFonts w:ascii="Roboto" w:hAnsi="Roboto" w:cs="Times New Roman"/>
        </w:rPr>
        <w:t>ing</w:t>
      </w:r>
      <w:r w:rsidR="0092205D" w:rsidRPr="00217D0B">
        <w:rPr>
          <w:rFonts w:ascii="Roboto" w:hAnsi="Roboto" w:cs="Times New Roman"/>
        </w:rPr>
        <w:t xml:space="preserve"> allegations of bullying, harassment, and inappropriate behaviour by members</w:t>
      </w:r>
      <w:r w:rsidR="006D5F45" w:rsidRPr="00217D0B">
        <w:rPr>
          <w:rFonts w:ascii="Roboto" w:hAnsi="Roboto" w:cs="Times New Roman"/>
        </w:rPr>
        <w:t>. Additionally</w:t>
      </w:r>
      <w:r w:rsidR="008F4864" w:rsidRPr="00217D0B">
        <w:rPr>
          <w:rFonts w:ascii="Roboto" w:hAnsi="Roboto" w:cs="Times New Roman"/>
        </w:rPr>
        <w:t>,</w:t>
      </w:r>
      <w:r w:rsidR="006D5F45" w:rsidRPr="00217D0B">
        <w:rPr>
          <w:rFonts w:ascii="Roboto" w:hAnsi="Roboto" w:cs="Times New Roman"/>
        </w:rPr>
        <w:t xml:space="preserve"> the ICO has responsibility for handling complaints about minor breaches of the Members' Code of Conduct, particularly regarding the use of allowances, entitlements, and the pecuniary </w:t>
      </w:r>
      <w:proofErr w:type="gramStart"/>
      <w:r w:rsidR="006D5F45" w:rsidRPr="00217D0B">
        <w:rPr>
          <w:rFonts w:ascii="Roboto" w:hAnsi="Roboto" w:cs="Times New Roman"/>
        </w:rPr>
        <w:t>interests</w:t>
      </w:r>
      <w:proofErr w:type="gramEnd"/>
      <w:r w:rsidR="006D5F45" w:rsidRPr="00217D0B">
        <w:rPr>
          <w:rFonts w:ascii="Roboto" w:hAnsi="Roboto" w:cs="Times New Roman"/>
        </w:rPr>
        <w:t xml:space="preserve"> disclosure scheme.</w:t>
      </w:r>
    </w:p>
    <w:p w14:paraId="1173A5EA" w14:textId="77777777" w:rsidR="0092205D" w:rsidRPr="0092205D" w:rsidRDefault="0092205D" w:rsidP="00D96380">
      <w:pPr>
        <w:rPr>
          <w:rFonts w:ascii="Roboto" w:hAnsi="Roboto"/>
        </w:rPr>
      </w:pPr>
    </w:p>
    <w:p w14:paraId="392A7989" w14:textId="5125A64E" w:rsidR="00BD7B0C" w:rsidRDefault="0092205D" w:rsidP="00D96380">
      <w:pPr>
        <w:rPr>
          <w:rFonts w:ascii="Roboto" w:hAnsi="Roboto"/>
        </w:rPr>
      </w:pPr>
      <w:r>
        <w:rPr>
          <w:rFonts w:ascii="Roboto" w:hAnsi="Roboto"/>
        </w:rPr>
        <w:t>The above is just a snapshot of some of the work that ha</w:t>
      </w:r>
      <w:r w:rsidR="008F4864">
        <w:rPr>
          <w:rFonts w:ascii="Roboto" w:hAnsi="Roboto"/>
        </w:rPr>
        <w:t>s</w:t>
      </w:r>
      <w:r>
        <w:rPr>
          <w:rFonts w:ascii="Roboto" w:hAnsi="Roboto"/>
        </w:rPr>
        <w:t xml:space="preserve"> been completed or is underway. </w:t>
      </w:r>
      <w:r w:rsidR="00D91C97">
        <w:rPr>
          <w:rFonts w:ascii="Roboto" w:hAnsi="Roboto"/>
        </w:rPr>
        <w:t>G</w:t>
      </w:r>
      <w:r>
        <w:rPr>
          <w:rFonts w:ascii="Roboto" w:hAnsi="Roboto"/>
        </w:rPr>
        <w:t>ood progress has been made and w</w:t>
      </w:r>
      <w:r w:rsidR="000F3827" w:rsidRPr="0092205D">
        <w:rPr>
          <w:rFonts w:ascii="Roboto" w:hAnsi="Roboto"/>
        </w:rPr>
        <w:t xml:space="preserve">e are </w:t>
      </w:r>
      <w:r>
        <w:rPr>
          <w:rFonts w:ascii="Roboto" w:hAnsi="Roboto"/>
        </w:rPr>
        <w:t xml:space="preserve">now at a stage where </w:t>
      </w:r>
      <w:r w:rsidR="00F970FB">
        <w:rPr>
          <w:rFonts w:ascii="Roboto" w:hAnsi="Roboto"/>
        </w:rPr>
        <w:t xml:space="preserve">many of </w:t>
      </w:r>
      <w:r>
        <w:rPr>
          <w:rFonts w:ascii="Roboto" w:hAnsi="Roboto"/>
        </w:rPr>
        <w:t>the</w:t>
      </w:r>
      <w:r w:rsidR="00F970FB">
        <w:rPr>
          <w:rFonts w:ascii="Roboto" w:hAnsi="Roboto"/>
        </w:rPr>
        <w:t xml:space="preserve"> changes</w:t>
      </w:r>
      <w:r w:rsidR="009152D5">
        <w:rPr>
          <w:rFonts w:ascii="Roboto" w:hAnsi="Roboto"/>
        </w:rPr>
        <w:t xml:space="preserve"> </w:t>
      </w:r>
      <w:r>
        <w:rPr>
          <w:rFonts w:ascii="Roboto" w:hAnsi="Roboto"/>
        </w:rPr>
        <w:t>delivered</w:t>
      </w:r>
      <w:r w:rsidR="00F970FB">
        <w:rPr>
          <w:rFonts w:ascii="Roboto" w:hAnsi="Roboto"/>
        </w:rPr>
        <w:t xml:space="preserve"> are </w:t>
      </w:r>
      <w:r>
        <w:rPr>
          <w:rFonts w:ascii="Roboto" w:hAnsi="Roboto"/>
        </w:rPr>
        <w:t>being transitioned into</w:t>
      </w:r>
      <w:r w:rsidR="009152D5">
        <w:rPr>
          <w:rFonts w:ascii="Roboto" w:hAnsi="Roboto"/>
        </w:rPr>
        <w:t xml:space="preserve"> business as usual </w:t>
      </w:r>
      <w:r>
        <w:rPr>
          <w:rFonts w:ascii="Roboto" w:hAnsi="Roboto"/>
        </w:rPr>
        <w:t xml:space="preserve">to support sustained </w:t>
      </w:r>
      <w:r w:rsidR="00B209B0">
        <w:rPr>
          <w:rFonts w:ascii="Roboto" w:hAnsi="Roboto"/>
        </w:rPr>
        <w:t xml:space="preserve">ongoing </w:t>
      </w:r>
      <w:r>
        <w:rPr>
          <w:rFonts w:ascii="Roboto" w:hAnsi="Roboto"/>
        </w:rPr>
        <w:t>improvement</w:t>
      </w:r>
      <w:r w:rsidR="001603F7">
        <w:rPr>
          <w:rFonts w:ascii="Roboto" w:hAnsi="Roboto"/>
        </w:rPr>
        <w:t xml:space="preserve">. </w:t>
      </w:r>
    </w:p>
    <w:p w14:paraId="6E55BBFB" w14:textId="77777777" w:rsidR="00BD7B0C" w:rsidRDefault="00BD7B0C" w:rsidP="00D96380">
      <w:pPr>
        <w:rPr>
          <w:rFonts w:ascii="Roboto" w:hAnsi="Roboto"/>
        </w:rPr>
      </w:pPr>
    </w:p>
    <w:p w14:paraId="38E4603B" w14:textId="3D77A2F2" w:rsidR="0056539B" w:rsidRPr="00754F74" w:rsidRDefault="0056539B" w:rsidP="0056539B">
      <w:pPr>
        <w:rPr>
          <w:rFonts w:ascii="Roboto" w:hAnsi="Roboto"/>
        </w:rPr>
      </w:pPr>
      <w:r w:rsidRPr="00AE6361">
        <w:rPr>
          <w:rStyle w:val="Emphasis"/>
          <w:rFonts w:ascii="Roboto" w:hAnsi="Roboto"/>
          <w:i w:val="0"/>
          <w:iCs w:val="0"/>
        </w:rPr>
        <w:t xml:space="preserve">In </w:t>
      </w:r>
      <w:r w:rsidR="006138A5">
        <w:rPr>
          <w:rStyle w:val="Emphasis"/>
          <w:rFonts w:ascii="Roboto" w:hAnsi="Roboto"/>
          <w:i w:val="0"/>
          <w:iCs w:val="0"/>
        </w:rPr>
        <w:t>his</w:t>
      </w:r>
      <w:r w:rsidRPr="00AE6361">
        <w:rPr>
          <w:rStyle w:val="Emphasis"/>
          <w:rFonts w:ascii="Roboto" w:hAnsi="Roboto"/>
          <w:i w:val="0"/>
          <w:iCs w:val="0"/>
        </w:rPr>
        <w:t xml:space="preserve"> paper</w:t>
      </w:r>
      <w:r w:rsidRPr="00AE6361">
        <w:rPr>
          <w:rStyle w:val="Emphasis"/>
          <w:rFonts w:ascii="Roboto" w:hAnsi="Roboto"/>
        </w:rPr>
        <w:t xml:space="preserve"> Modernising Parliamentary Workplaces: Safety, Diversity, and Representation</w:t>
      </w:r>
      <w:r w:rsidRPr="00AE6361">
        <w:rPr>
          <w:rFonts w:ascii="Roboto" w:hAnsi="Roboto"/>
        </w:rPr>
        <w:t xml:space="preserve"> </w:t>
      </w:r>
      <w:r w:rsidRPr="00AE6361">
        <w:rPr>
          <w:rFonts w:ascii="Roboto" w:hAnsi="Roboto" w:cs="Times New Roman"/>
        </w:rPr>
        <w:t xml:space="preserve">David Blunt, the </w:t>
      </w:r>
      <w:r w:rsidRPr="00AE6361">
        <w:rPr>
          <w:rFonts w:ascii="Roboto" w:hAnsi="Roboto"/>
        </w:rPr>
        <w:t xml:space="preserve">Clerk of the </w:t>
      </w:r>
      <w:r>
        <w:rPr>
          <w:rFonts w:ascii="Roboto" w:hAnsi="Roboto"/>
        </w:rPr>
        <w:t xml:space="preserve">Parliaments in </w:t>
      </w:r>
      <w:r w:rsidR="00C46688">
        <w:rPr>
          <w:rFonts w:ascii="Roboto" w:hAnsi="Roboto"/>
        </w:rPr>
        <w:t xml:space="preserve">the </w:t>
      </w:r>
      <w:r w:rsidRPr="00AE6361">
        <w:rPr>
          <w:rFonts w:ascii="Roboto" w:hAnsi="Roboto"/>
        </w:rPr>
        <w:t xml:space="preserve">Legislative Council in New South Wales, </w:t>
      </w:r>
      <w:r>
        <w:rPr>
          <w:rFonts w:ascii="Roboto" w:hAnsi="Roboto"/>
        </w:rPr>
        <w:t>discuss</w:t>
      </w:r>
      <w:r w:rsidR="00DB48D8">
        <w:rPr>
          <w:rFonts w:ascii="Roboto" w:hAnsi="Roboto"/>
        </w:rPr>
        <w:t>es</w:t>
      </w:r>
      <w:r>
        <w:rPr>
          <w:rFonts w:ascii="Roboto" w:hAnsi="Roboto"/>
        </w:rPr>
        <w:t xml:space="preserve"> the review and </w:t>
      </w:r>
      <w:r w:rsidRPr="00AE6361">
        <w:rPr>
          <w:rFonts w:ascii="Roboto" w:hAnsi="Roboto"/>
        </w:rPr>
        <w:t xml:space="preserve">explores the need for comprehensive reforms in parliamentary workplaces to create safer, more inclusive environments that embrace diversity and ensure proper representation. The paper draws on Blunt's experience </w:t>
      </w:r>
      <w:r>
        <w:rPr>
          <w:rFonts w:ascii="Roboto" w:hAnsi="Roboto"/>
        </w:rPr>
        <w:t>at the Parliament of NSW and</w:t>
      </w:r>
      <w:r w:rsidRPr="00AE6361">
        <w:rPr>
          <w:rFonts w:ascii="Roboto" w:hAnsi="Roboto"/>
        </w:rPr>
        <w:t xml:space="preserve"> reflects on various challenges and initiatives undertaken in </w:t>
      </w:r>
      <w:r>
        <w:rPr>
          <w:rFonts w:ascii="Roboto" w:hAnsi="Roboto"/>
        </w:rPr>
        <w:t>the</w:t>
      </w:r>
      <w:r w:rsidRPr="00AE6361">
        <w:rPr>
          <w:rFonts w:ascii="Roboto" w:hAnsi="Roboto"/>
        </w:rPr>
        <w:t xml:space="preserve"> Parliament to address workplace culture, safety, and governance.</w:t>
      </w:r>
      <w:r>
        <w:rPr>
          <w:rStyle w:val="FootnoteReference"/>
          <w:rFonts w:ascii="Roboto" w:hAnsi="Roboto"/>
        </w:rPr>
        <w:footnoteReference w:id="25"/>
      </w:r>
      <w:r w:rsidR="00F970FB">
        <w:rPr>
          <w:rFonts w:ascii="Roboto" w:hAnsi="Roboto"/>
        </w:rPr>
        <w:t xml:space="preserve"> </w:t>
      </w:r>
      <w:r w:rsidR="00BB737D">
        <w:rPr>
          <w:rFonts w:ascii="Roboto" w:hAnsi="Roboto"/>
        </w:rPr>
        <w:t>Building on Blunt’s paper, I will now speak specifically to the issue of governance and outline the ways in which it is an essential area of focus when seeking to achieve comprehensive cultural reforms.</w:t>
      </w:r>
    </w:p>
    <w:p w14:paraId="46EDD8D9" w14:textId="77777777" w:rsidR="0056539B" w:rsidRDefault="0056539B" w:rsidP="00D96380">
      <w:pPr>
        <w:rPr>
          <w:rFonts w:ascii="Roboto" w:hAnsi="Roboto"/>
          <w:b/>
          <w:bCs/>
        </w:rPr>
      </w:pPr>
    </w:p>
    <w:p w14:paraId="2C9855BE" w14:textId="67DC5080" w:rsidR="003E47E5" w:rsidRDefault="00B209B0" w:rsidP="00C80BE3">
      <w:pPr>
        <w:tabs>
          <w:tab w:val="left" w:pos="3408"/>
        </w:tabs>
        <w:rPr>
          <w:rFonts w:ascii="Roboto" w:hAnsi="Roboto"/>
        </w:rPr>
      </w:pPr>
      <w:r>
        <w:rPr>
          <w:rFonts w:ascii="Roboto" w:hAnsi="Roboto"/>
          <w:b/>
          <w:bCs/>
        </w:rPr>
        <w:t>Human</w:t>
      </w:r>
      <w:r w:rsidR="009935A3">
        <w:rPr>
          <w:rFonts w:ascii="Roboto" w:hAnsi="Roboto"/>
          <w:b/>
          <w:bCs/>
        </w:rPr>
        <w:t xml:space="preserve"> related risk</w:t>
      </w:r>
      <w:r>
        <w:rPr>
          <w:rFonts w:ascii="Roboto" w:hAnsi="Roboto"/>
          <w:b/>
          <w:bCs/>
        </w:rPr>
        <w:t xml:space="preserve"> and Governance. </w:t>
      </w:r>
      <w:r w:rsidR="00C80BE3">
        <w:rPr>
          <w:rFonts w:ascii="Roboto" w:hAnsi="Roboto"/>
          <w:b/>
          <w:bCs/>
        </w:rPr>
        <w:tab/>
      </w:r>
    </w:p>
    <w:p w14:paraId="0A8F7A11" w14:textId="77777777" w:rsidR="00B91B1A" w:rsidRDefault="00B91B1A" w:rsidP="00D96380">
      <w:pPr>
        <w:rPr>
          <w:rFonts w:ascii="Roboto" w:hAnsi="Roboto"/>
        </w:rPr>
      </w:pPr>
    </w:p>
    <w:p w14:paraId="6E9930EE" w14:textId="4A0FB167" w:rsidR="00AC55B7" w:rsidRDefault="005360B2" w:rsidP="000E0035">
      <w:pPr>
        <w:rPr>
          <w:rFonts w:ascii="Roboto" w:hAnsi="Roboto" w:cs="Times New Roman"/>
        </w:rPr>
      </w:pPr>
      <w:r>
        <w:rPr>
          <w:rFonts w:ascii="Roboto" w:hAnsi="Roboto"/>
        </w:rPr>
        <w:t>G</w:t>
      </w:r>
      <w:r w:rsidR="00B209B0" w:rsidRPr="003C2711">
        <w:rPr>
          <w:rFonts w:ascii="Roboto" w:hAnsi="Roboto"/>
        </w:rPr>
        <w:t>overnanc</w:t>
      </w:r>
      <w:r>
        <w:rPr>
          <w:rFonts w:ascii="Roboto" w:hAnsi="Roboto"/>
        </w:rPr>
        <w:t>e</w:t>
      </w:r>
      <w:r w:rsidR="00B209B0" w:rsidRPr="003C2711">
        <w:rPr>
          <w:rFonts w:ascii="Roboto" w:hAnsi="Roboto"/>
        </w:rPr>
        <w:t xml:space="preserve"> structures have tr</w:t>
      </w:r>
      <w:r w:rsidR="00B91B1A" w:rsidRPr="003C2711">
        <w:rPr>
          <w:rFonts w:ascii="Roboto" w:hAnsi="Roboto"/>
        </w:rPr>
        <w:t>aditionally</w:t>
      </w:r>
      <w:r w:rsidR="00B209B0" w:rsidRPr="003C2711">
        <w:rPr>
          <w:rFonts w:ascii="Roboto" w:hAnsi="Roboto"/>
        </w:rPr>
        <w:t xml:space="preserve"> had a focus on financial and legal risk</w:t>
      </w:r>
      <w:r w:rsidR="003C2711" w:rsidRPr="003C2711">
        <w:rPr>
          <w:rFonts w:ascii="Roboto" w:hAnsi="Roboto"/>
        </w:rPr>
        <w:t xml:space="preserve"> </w:t>
      </w:r>
      <w:r w:rsidR="003C2711" w:rsidRPr="000E0035">
        <w:rPr>
          <w:rFonts w:ascii="Roboto" w:hAnsi="Roboto"/>
        </w:rPr>
        <w:t xml:space="preserve">however </w:t>
      </w:r>
      <w:r w:rsidR="003C0211">
        <w:rPr>
          <w:rFonts w:ascii="Roboto" w:hAnsi="Roboto"/>
        </w:rPr>
        <w:t xml:space="preserve">more recently </w:t>
      </w:r>
      <w:r w:rsidR="003C2711" w:rsidRPr="000E0035">
        <w:rPr>
          <w:rFonts w:ascii="Roboto" w:hAnsi="Roboto" w:cs="Times New Roman"/>
        </w:rPr>
        <w:t>there has been increasing recognition of the importance of a broader and more diverse spectrum of consideration.</w:t>
      </w:r>
      <w:r w:rsidR="00966D96">
        <w:rPr>
          <w:rStyle w:val="FootnoteReference"/>
          <w:rFonts w:ascii="Roboto" w:hAnsi="Roboto" w:cs="Times New Roman"/>
        </w:rPr>
        <w:footnoteReference w:id="26"/>
      </w:r>
      <w:r w:rsidR="003C2711" w:rsidRPr="000E0035">
        <w:rPr>
          <w:rFonts w:ascii="Roboto" w:hAnsi="Roboto" w:cs="Times New Roman"/>
        </w:rPr>
        <w:t xml:space="preserve"> </w:t>
      </w:r>
      <w:r w:rsidR="000E0035" w:rsidRPr="000E0035">
        <w:rPr>
          <w:rFonts w:ascii="Roboto" w:hAnsi="Roboto" w:cs="Times New Roman"/>
        </w:rPr>
        <w:t xml:space="preserve">The importance of </w:t>
      </w:r>
      <w:r w:rsidR="00FA2325">
        <w:rPr>
          <w:rFonts w:ascii="Roboto" w:hAnsi="Roboto" w:cs="Times New Roman"/>
        </w:rPr>
        <w:t xml:space="preserve">governance </w:t>
      </w:r>
      <w:r w:rsidR="007323C6">
        <w:rPr>
          <w:rFonts w:ascii="Roboto" w:hAnsi="Roboto" w:cs="Times New Roman"/>
        </w:rPr>
        <w:t xml:space="preserve">to provide oversight when </w:t>
      </w:r>
      <w:r w:rsidR="000E0035">
        <w:rPr>
          <w:rFonts w:ascii="Roboto" w:hAnsi="Roboto" w:cs="Times New Roman"/>
        </w:rPr>
        <w:t>addressing</w:t>
      </w:r>
      <w:r w:rsidR="000E0035" w:rsidRPr="000E0035">
        <w:rPr>
          <w:rFonts w:ascii="Roboto" w:hAnsi="Roboto" w:cs="Times New Roman"/>
        </w:rPr>
        <w:t xml:space="preserve"> human</w:t>
      </w:r>
      <w:r w:rsidR="009813E2">
        <w:rPr>
          <w:rFonts w:ascii="Roboto" w:hAnsi="Roboto" w:cs="Times New Roman"/>
        </w:rPr>
        <w:t xml:space="preserve"> related </w:t>
      </w:r>
      <w:r w:rsidR="000E0035" w:rsidRPr="000E0035">
        <w:rPr>
          <w:rFonts w:ascii="Roboto" w:hAnsi="Roboto" w:cs="Times New Roman"/>
        </w:rPr>
        <w:t xml:space="preserve">risk </w:t>
      </w:r>
      <w:r w:rsidR="000E0035">
        <w:rPr>
          <w:rFonts w:ascii="Roboto" w:hAnsi="Roboto" w:cs="Times New Roman"/>
        </w:rPr>
        <w:t xml:space="preserve">can be </w:t>
      </w:r>
      <w:r w:rsidR="008C5EB7">
        <w:rPr>
          <w:rFonts w:ascii="Roboto" w:hAnsi="Roboto" w:cs="Times New Roman"/>
        </w:rPr>
        <w:t>understo</w:t>
      </w:r>
      <w:r w:rsidR="00C87AE9">
        <w:rPr>
          <w:rFonts w:ascii="Roboto" w:hAnsi="Roboto" w:cs="Times New Roman"/>
        </w:rPr>
        <w:t>o</w:t>
      </w:r>
      <w:r w:rsidR="008C5EB7">
        <w:rPr>
          <w:rFonts w:ascii="Roboto" w:hAnsi="Roboto" w:cs="Times New Roman"/>
        </w:rPr>
        <w:t>d</w:t>
      </w:r>
      <w:r w:rsidR="000E0035" w:rsidRPr="000E0035">
        <w:rPr>
          <w:rFonts w:ascii="Roboto" w:hAnsi="Roboto" w:cs="Times New Roman"/>
        </w:rPr>
        <w:t xml:space="preserve"> in th</w:t>
      </w:r>
      <w:r w:rsidR="00DB48D8">
        <w:rPr>
          <w:rFonts w:ascii="Roboto" w:hAnsi="Roboto" w:cs="Times New Roman"/>
        </w:rPr>
        <w:t>is</w:t>
      </w:r>
      <w:r w:rsidR="000E0035" w:rsidRPr="000E0035">
        <w:rPr>
          <w:rFonts w:ascii="Roboto" w:hAnsi="Roboto" w:cs="Times New Roman"/>
        </w:rPr>
        <w:t xml:space="preserve"> context</w:t>
      </w:r>
      <w:r w:rsidR="00AC55B7">
        <w:rPr>
          <w:rFonts w:ascii="Roboto" w:hAnsi="Roboto" w:cs="Times New Roman"/>
        </w:rPr>
        <w:t>.</w:t>
      </w:r>
      <w:r w:rsidR="00D1163A">
        <w:rPr>
          <w:rFonts w:ascii="Roboto" w:hAnsi="Roboto" w:cs="Times New Roman"/>
        </w:rPr>
        <w:t xml:space="preserve"> This is not to say that there is currently no consideration of human related risks </w:t>
      </w:r>
      <w:r w:rsidR="002F542B">
        <w:rPr>
          <w:rFonts w:ascii="Roboto" w:hAnsi="Roboto" w:cs="Times New Roman"/>
        </w:rPr>
        <w:t xml:space="preserve">associated with bullying, harassment, and discrimination and related work health a safety risks </w:t>
      </w:r>
      <w:r w:rsidR="00227A98">
        <w:rPr>
          <w:rFonts w:ascii="Roboto" w:hAnsi="Roboto" w:cs="Times New Roman"/>
        </w:rPr>
        <w:t xml:space="preserve">in establish </w:t>
      </w:r>
      <w:r w:rsidR="00227A98">
        <w:rPr>
          <w:rFonts w:ascii="Roboto" w:hAnsi="Roboto" w:cs="Times New Roman"/>
        </w:rPr>
        <w:lastRenderedPageBreak/>
        <w:t>governance structures</w:t>
      </w:r>
      <w:r w:rsidR="00AC4626">
        <w:rPr>
          <w:rFonts w:ascii="Roboto" w:hAnsi="Roboto" w:cs="Times New Roman"/>
        </w:rPr>
        <w:t>,</w:t>
      </w:r>
      <w:r w:rsidR="00227A98">
        <w:rPr>
          <w:rFonts w:ascii="Roboto" w:hAnsi="Roboto" w:cs="Times New Roman"/>
        </w:rPr>
        <w:t xml:space="preserve"> </w:t>
      </w:r>
      <w:r w:rsidR="003542B8">
        <w:rPr>
          <w:rFonts w:ascii="Roboto" w:hAnsi="Roboto" w:cs="Times New Roman"/>
        </w:rPr>
        <w:t xml:space="preserve">however </w:t>
      </w:r>
      <w:r w:rsidR="007D0FD3">
        <w:rPr>
          <w:rFonts w:ascii="Roboto" w:hAnsi="Roboto" w:cs="Times New Roman"/>
        </w:rPr>
        <w:t xml:space="preserve">an </w:t>
      </w:r>
      <w:r w:rsidR="003542B8">
        <w:rPr>
          <w:rFonts w:ascii="Roboto" w:hAnsi="Roboto" w:cs="Times New Roman"/>
        </w:rPr>
        <w:t xml:space="preserve">increased focus on such risks could </w:t>
      </w:r>
      <w:r w:rsidR="00817E78">
        <w:rPr>
          <w:rFonts w:ascii="Roboto" w:hAnsi="Roboto" w:cs="Times New Roman"/>
        </w:rPr>
        <w:t xml:space="preserve">assist to address unacceptable behaviour and improve the work environment. </w:t>
      </w:r>
    </w:p>
    <w:p w14:paraId="670474DF" w14:textId="77777777" w:rsidR="00E05A58" w:rsidRDefault="00E05A58" w:rsidP="000E0035">
      <w:pPr>
        <w:rPr>
          <w:rFonts w:ascii="Roboto" w:hAnsi="Roboto" w:cs="Times New Roman"/>
        </w:rPr>
      </w:pPr>
    </w:p>
    <w:p w14:paraId="50FC79FB" w14:textId="6074C607" w:rsidR="00243D05" w:rsidRDefault="000E0035" w:rsidP="000E0035">
      <w:pPr>
        <w:rPr>
          <w:rFonts w:ascii="Roboto" w:hAnsi="Roboto" w:cs="Times New Roman"/>
        </w:rPr>
      </w:pPr>
      <w:r w:rsidRPr="000E0035">
        <w:rPr>
          <w:rFonts w:ascii="Roboto" w:hAnsi="Roboto" w:cs="Times New Roman"/>
        </w:rPr>
        <w:t>Effective risk management</w:t>
      </w:r>
      <w:r>
        <w:rPr>
          <w:rFonts w:ascii="Roboto" w:hAnsi="Roboto" w:cs="Times New Roman"/>
        </w:rPr>
        <w:t xml:space="preserve"> that </w:t>
      </w:r>
      <w:r w:rsidRPr="000E0035">
        <w:rPr>
          <w:rFonts w:ascii="Roboto" w:hAnsi="Roboto" w:cs="Times New Roman"/>
        </w:rPr>
        <w:t>address</w:t>
      </w:r>
      <w:r>
        <w:rPr>
          <w:rFonts w:ascii="Roboto" w:hAnsi="Roboto" w:cs="Times New Roman"/>
        </w:rPr>
        <w:t>es</w:t>
      </w:r>
      <w:r w:rsidRPr="000E0035">
        <w:rPr>
          <w:rFonts w:ascii="Roboto" w:hAnsi="Roboto" w:cs="Times New Roman"/>
        </w:rPr>
        <w:t xml:space="preserve"> various human-related risks</w:t>
      </w:r>
      <w:r>
        <w:rPr>
          <w:rFonts w:ascii="Roboto" w:hAnsi="Roboto" w:cs="Times New Roman"/>
        </w:rPr>
        <w:t xml:space="preserve"> </w:t>
      </w:r>
      <w:r w:rsidR="00DB48D8">
        <w:rPr>
          <w:rFonts w:ascii="Roboto" w:hAnsi="Roboto" w:cs="Times New Roman"/>
        </w:rPr>
        <w:t>could play a key role to</w:t>
      </w:r>
      <w:r>
        <w:rPr>
          <w:rFonts w:ascii="Roboto" w:hAnsi="Roboto" w:cs="Times New Roman"/>
        </w:rPr>
        <w:t xml:space="preserve"> improve productivity, reduce costs associated with complaints and claims, and reduce exposure to reputational damage</w:t>
      </w:r>
      <w:r w:rsidRPr="000E0035">
        <w:rPr>
          <w:rFonts w:ascii="Roboto" w:hAnsi="Roboto" w:cs="Times New Roman"/>
        </w:rPr>
        <w:t>. Integrating these aspects into risk management framework</w:t>
      </w:r>
      <w:r w:rsidR="00874C19">
        <w:rPr>
          <w:rFonts w:ascii="Roboto" w:hAnsi="Roboto" w:cs="Times New Roman"/>
        </w:rPr>
        <w:t>s</w:t>
      </w:r>
      <w:r w:rsidR="0072427E">
        <w:rPr>
          <w:rFonts w:ascii="Roboto" w:hAnsi="Roboto" w:cs="Times New Roman"/>
        </w:rPr>
        <w:t xml:space="preserve"> and actively assessing the effectiveness of measures to mitigate these ri</w:t>
      </w:r>
      <w:r w:rsidR="00FD02A5">
        <w:rPr>
          <w:rFonts w:ascii="Roboto" w:hAnsi="Roboto" w:cs="Times New Roman"/>
        </w:rPr>
        <w:t>sks</w:t>
      </w:r>
      <w:r w:rsidRPr="000E0035">
        <w:rPr>
          <w:rFonts w:ascii="Roboto" w:hAnsi="Roboto" w:cs="Times New Roman"/>
        </w:rPr>
        <w:t xml:space="preserve"> c</w:t>
      </w:r>
      <w:r w:rsidR="00874C19">
        <w:rPr>
          <w:rFonts w:ascii="Roboto" w:hAnsi="Roboto" w:cs="Times New Roman"/>
        </w:rPr>
        <w:t>ould</w:t>
      </w:r>
      <w:r w:rsidRPr="000E0035">
        <w:rPr>
          <w:rFonts w:ascii="Roboto" w:hAnsi="Roboto" w:cs="Times New Roman"/>
        </w:rPr>
        <w:t xml:space="preserve"> lead to a more comprehensive and resilient system</w:t>
      </w:r>
      <w:r w:rsidR="00243D05">
        <w:rPr>
          <w:rFonts w:ascii="Roboto" w:hAnsi="Roboto" w:cs="Times New Roman"/>
        </w:rPr>
        <w:t xml:space="preserve"> and a safe</w:t>
      </w:r>
      <w:r w:rsidR="003B6DC3">
        <w:rPr>
          <w:rFonts w:ascii="Roboto" w:hAnsi="Roboto" w:cs="Times New Roman"/>
        </w:rPr>
        <w:t>r</w:t>
      </w:r>
      <w:r w:rsidR="00243D05">
        <w:rPr>
          <w:rFonts w:ascii="Roboto" w:hAnsi="Roboto" w:cs="Times New Roman"/>
        </w:rPr>
        <w:t xml:space="preserve">, </w:t>
      </w:r>
      <w:r w:rsidR="003B6DC3">
        <w:rPr>
          <w:rFonts w:ascii="Roboto" w:hAnsi="Roboto" w:cs="Times New Roman"/>
        </w:rPr>
        <w:t>more inclusive,</w:t>
      </w:r>
      <w:r w:rsidR="00243D05">
        <w:rPr>
          <w:rFonts w:ascii="Roboto" w:hAnsi="Roboto" w:cs="Times New Roman"/>
        </w:rPr>
        <w:t xml:space="preserve"> and respectful workplace.</w:t>
      </w:r>
    </w:p>
    <w:p w14:paraId="363D5960" w14:textId="77777777" w:rsidR="000E0035" w:rsidRPr="004942E9" w:rsidRDefault="000E0035" w:rsidP="000E0035">
      <w:pPr>
        <w:rPr>
          <w:rFonts w:ascii="Roboto" w:hAnsi="Roboto" w:cs="Times New Roman"/>
        </w:rPr>
      </w:pPr>
    </w:p>
    <w:p w14:paraId="458AA468" w14:textId="2BA78194" w:rsidR="001658BC" w:rsidRDefault="00DB48D8" w:rsidP="003C2711">
      <w:pPr>
        <w:rPr>
          <w:rFonts w:ascii="Roboto" w:hAnsi="Roboto" w:cs="Times New Roman"/>
        </w:rPr>
      </w:pPr>
      <w:r>
        <w:rPr>
          <w:rFonts w:ascii="Roboto" w:hAnsi="Roboto" w:cs="Times New Roman"/>
        </w:rPr>
        <w:t>T</w:t>
      </w:r>
      <w:r w:rsidR="007218AA" w:rsidRPr="004942E9">
        <w:rPr>
          <w:rFonts w:ascii="Roboto" w:hAnsi="Roboto" w:cs="Times New Roman"/>
        </w:rPr>
        <w:t xml:space="preserve">he Secretary of NSW Treasury </w:t>
      </w:r>
      <w:r w:rsidR="008024A1">
        <w:rPr>
          <w:rFonts w:ascii="Roboto" w:hAnsi="Roboto" w:cs="Times New Roman"/>
        </w:rPr>
        <w:t xml:space="preserve">recently </w:t>
      </w:r>
      <w:r w:rsidR="007218AA" w:rsidRPr="004942E9">
        <w:rPr>
          <w:rFonts w:ascii="Roboto" w:hAnsi="Roboto" w:cs="Times New Roman"/>
        </w:rPr>
        <w:t xml:space="preserve">highlighted the </w:t>
      </w:r>
      <w:r w:rsidR="00243D05">
        <w:rPr>
          <w:rFonts w:ascii="Roboto" w:hAnsi="Roboto" w:cs="Times New Roman"/>
        </w:rPr>
        <w:t>increasing</w:t>
      </w:r>
      <w:r w:rsidR="007218AA" w:rsidRPr="004942E9">
        <w:rPr>
          <w:rFonts w:ascii="Roboto" w:hAnsi="Roboto" w:cs="Times New Roman"/>
        </w:rPr>
        <w:t xml:space="preserve"> cost associated with psychological damage</w:t>
      </w:r>
      <w:r w:rsidR="003B6DC3">
        <w:rPr>
          <w:rFonts w:ascii="Roboto" w:hAnsi="Roboto" w:cs="Times New Roman"/>
        </w:rPr>
        <w:t xml:space="preserve"> and </w:t>
      </w:r>
      <w:r w:rsidR="007218AA" w:rsidRPr="004942E9">
        <w:rPr>
          <w:rFonts w:ascii="Roboto" w:hAnsi="Roboto" w:cs="Times New Roman"/>
        </w:rPr>
        <w:t xml:space="preserve">related claims for the NSW </w:t>
      </w:r>
      <w:r w:rsidR="008024A1">
        <w:rPr>
          <w:rFonts w:ascii="Roboto" w:hAnsi="Roboto" w:cs="Times New Roman"/>
        </w:rPr>
        <w:t>P</w:t>
      </w:r>
      <w:r w:rsidR="007218AA" w:rsidRPr="004942E9">
        <w:rPr>
          <w:rFonts w:ascii="Roboto" w:hAnsi="Roboto" w:cs="Times New Roman"/>
        </w:rPr>
        <w:t xml:space="preserve">ublic </w:t>
      </w:r>
      <w:r w:rsidR="008024A1">
        <w:rPr>
          <w:rFonts w:ascii="Roboto" w:hAnsi="Roboto" w:cs="Times New Roman"/>
        </w:rPr>
        <w:t>S</w:t>
      </w:r>
      <w:r w:rsidR="007218AA" w:rsidRPr="004942E9">
        <w:rPr>
          <w:rFonts w:ascii="Roboto" w:hAnsi="Roboto" w:cs="Times New Roman"/>
        </w:rPr>
        <w:t>ervice.</w:t>
      </w:r>
      <w:r>
        <w:rPr>
          <w:rStyle w:val="FootnoteReference"/>
          <w:rFonts w:ascii="Roboto" w:hAnsi="Roboto" w:cs="Times New Roman"/>
        </w:rPr>
        <w:footnoteReference w:id="27"/>
      </w:r>
      <w:r w:rsidR="00837694">
        <w:rPr>
          <w:rFonts w:ascii="Roboto" w:hAnsi="Roboto" w:cs="Times New Roman"/>
        </w:rPr>
        <w:t xml:space="preserve"> </w:t>
      </w:r>
      <w:r w:rsidR="007218AA" w:rsidRPr="004942E9">
        <w:rPr>
          <w:rFonts w:ascii="Roboto" w:hAnsi="Roboto" w:cs="Times New Roman"/>
        </w:rPr>
        <w:t>There is also growing recognition that psychological safety is a requirement for organi</w:t>
      </w:r>
      <w:r w:rsidR="003B6DC3">
        <w:rPr>
          <w:rFonts w:ascii="Roboto" w:hAnsi="Roboto" w:cs="Times New Roman"/>
        </w:rPr>
        <w:t>s</w:t>
      </w:r>
      <w:r w:rsidR="007218AA" w:rsidRPr="004942E9">
        <w:rPr>
          <w:rFonts w:ascii="Roboto" w:hAnsi="Roboto" w:cs="Times New Roman"/>
        </w:rPr>
        <w:t>ations to be able to effectively manage ri</w:t>
      </w:r>
      <w:r w:rsidR="00791DD0">
        <w:rPr>
          <w:rFonts w:ascii="Roboto" w:hAnsi="Roboto" w:cs="Times New Roman"/>
        </w:rPr>
        <w:t>sk more broadly</w:t>
      </w:r>
      <w:r w:rsidR="00ED7810">
        <w:rPr>
          <w:rFonts w:ascii="Roboto" w:hAnsi="Roboto" w:cs="Times New Roman"/>
        </w:rPr>
        <w:t xml:space="preserve">. </w:t>
      </w:r>
    </w:p>
    <w:p w14:paraId="7BFED228" w14:textId="77777777" w:rsidR="001658BC" w:rsidRDefault="001658BC" w:rsidP="003C2711">
      <w:pPr>
        <w:rPr>
          <w:rFonts w:ascii="Roboto" w:hAnsi="Roboto" w:cs="Times New Roman"/>
        </w:rPr>
      </w:pPr>
    </w:p>
    <w:p w14:paraId="5C27F1FD" w14:textId="4BD06E7E" w:rsidR="000E0035" w:rsidRDefault="001658BC" w:rsidP="003C2711">
      <w:pPr>
        <w:rPr>
          <w:rFonts w:ascii="Roboto" w:hAnsi="Roboto" w:cs="Times New Roman"/>
        </w:rPr>
      </w:pPr>
      <w:r w:rsidRPr="001658BC">
        <w:rPr>
          <w:rFonts w:ascii="Roboto" w:hAnsi="Roboto" w:cs="Times New Roman"/>
        </w:rPr>
        <w:t>The NSW Work Health and Safety (WHS) regime</w:t>
      </w:r>
      <w:r>
        <w:rPr>
          <w:rFonts w:ascii="Roboto" w:hAnsi="Roboto" w:cs="Times New Roman"/>
        </w:rPr>
        <w:t>,</w:t>
      </w:r>
      <w:r w:rsidRPr="001658BC">
        <w:rPr>
          <w:rFonts w:ascii="Roboto" w:hAnsi="Roboto" w:cs="Times New Roman"/>
        </w:rPr>
        <w:t xml:space="preserve"> </w:t>
      </w:r>
      <w:r>
        <w:rPr>
          <w:rFonts w:ascii="Roboto" w:hAnsi="Roboto" w:cs="Times New Roman"/>
        </w:rPr>
        <w:t>which is</w:t>
      </w:r>
      <w:r w:rsidRPr="001658BC">
        <w:rPr>
          <w:rFonts w:ascii="Roboto" w:hAnsi="Roboto" w:cs="Times New Roman"/>
        </w:rPr>
        <w:t xml:space="preserve"> designed to ensure the health, safety, and welfare of workers by mandating compliance with WHS laws and regulations</w:t>
      </w:r>
      <w:r>
        <w:rPr>
          <w:rFonts w:ascii="Roboto" w:hAnsi="Roboto" w:cs="Times New Roman"/>
        </w:rPr>
        <w:t xml:space="preserve">, </w:t>
      </w:r>
      <w:r w:rsidRPr="001658BC">
        <w:rPr>
          <w:rFonts w:ascii="Roboto" w:hAnsi="Roboto" w:cs="Times New Roman"/>
        </w:rPr>
        <w:t xml:space="preserve">has </w:t>
      </w:r>
      <w:r w:rsidR="00AC4626">
        <w:rPr>
          <w:rFonts w:ascii="Roboto" w:hAnsi="Roboto" w:cs="Times New Roman"/>
        </w:rPr>
        <w:t xml:space="preserve">now </w:t>
      </w:r>
      <w:r w:rsidRPr="001658BC">
        <w:rPr>
          <w:rFonts w:ascii="Roboto" w:hAnsi="Roboto" w:cs="Times New Roman"/>
        </w:rPr>
        <w:t>explicitly recogni</w:t>
      </w:r>
      <w:r>
        <w:rPr>
          <w:rFonts w:ascii="Roboto" w:hAnsi="Roboto" w:cs="Times New Roman"/>
        </w:rPr>
        <w:t>s</w:t>
      </w:r>
      <w:r w:rsidRPr="001658BC">
        <w:rPr>
          <w:rFonts w:ascii="Roboto" w:hAnsi="Roboto" w:cs="Times New Roman"/>
        </w:rPr>
        <w:t>ed psychosocial risks</w:t>
      </w:r>
      <w:r>
        <w:rPr>
          <w:rFonts w:ascii="Roboto" w:hAnsi="Roboto" w:cs="Times New Roman"/>
        </w:rPr>
        <w:t xml:space="preserve"> </w:t>
      </w:r>
      <w:r w:rsidRPr="001658BC">
        <w:rPr>
          <w:rFonts w:ascii="Roboto" w:hAnsi="Roboto" w:cs="Times New Roman"/>
        </w:rPr>
        <w:t>fac</w:t>
      </w:r>
      <w:r>
        <w:rPr>
          <w:rFonts w:ascii="Roboto" w:hAnsi="Roboto" w:cs="Times New Roman"/>
        </w:rPr>
        <w:t>t</w:t>
      </w:r>
      <w:r w:rsidRPr="001658BC">
        <w:rPr>
          <w:rFonts w:ascii="Roboto" w:hAnsi="Roboto" w:cs="Times New Roman"/>
        </w:rPr>
        <w:t>ors in the workplace that can affect employees' mental health, such as bullying, harassment, excessive workload, poor management practices, and workplace culture. Under the NSW WHS Act, employers have a legal obligation to identify, manage, and eliminate or mitigate these psychosocial risks, just as they would with physical hazards.</w:t>
      </w:r>
      <w:r>
        <w:rPr>
          <w:rStyle w:val="FootnoteReference"/>
          <w:rFonts w:ascii="Roboto" w:hAnsi="Roboto" w:cs="Times New Roman"/>
        </w:rPr>
        <w:footnoteReference w:id="28"/>
      </w:r>
      <w:r>
        <w:rPr>
          <w:rFonts w:ascii="Roboto" w:hAnsi="Roboto" w:cs="Times New Roman"/>
        </w:rPr>
        <w:t xml:space="preserve"> </w:t>
      </w:r>
      <w:r w:rsidR="00ED7810">
        <w:rPr>
          <w:rFonts w:ascii="Roboto" w:hAnsi="Roboto" w:cs="Times New Roman"/>
        </w:rPr>
        <w:t>H</w:t>
      </w:r>
      <w:r w:rsidR="007218AA" w:rsidRPr="004942E9">
        <w:rPr>
          <w:rFonts w:ascii="Roboto" w:hAnsi="Roboto" w:cs="Times New Roman"/>
        </w:rPr>
        <w:t>owever</w:t>
      </w:r>
      <w:r w:rsidR="008024A1">
        <w:rPr>
          <w:rFonts w:ascii="Roboto" w:hAnsi="Roboto" w:cs="Times New Roman"/>
        </w:rPr>
        <w:t>,</w:t>
      </w:r>
      <w:r w:rsidR="007218AA" w:rsidRPr="004942E9">
        <w:rPr>
          <w:rFonts w:ascii="Roboto" w:hAnsi="Roboto" w:cs="Times New Roman"/>
        </w:rPr>
        <w:t xml:space="preserve"> achieving psychological safety</w:t>
      </w:r>
      <w:r w:rsidR="00FA2325">
        <w:rPr>
          <w:rFonts w:ascii="Roboto" w:hAnsi="Roboto" w:cs="Times New Roman"/>
        </w:rPr>
        <w:t xml:space="preserve"> and addressing risk associated with inappropriate behaviour</w:t>
      </w:r>
      <w:r w:rsidR="007218AA" w:rsidRPr="004942E9">
        <w:rPr>
          <w:rFonts w:ascii="Roboto" w:hAnsi="Roboto" w:cs="Times New Roman"/>
        </w:rPr>
        <w:t xml:space="preserve"> </w:t>
      </w:r>
      <w:r w:rsidR="00ED7810">
        <w:rPr>
          <w:rFonts w:ascii="Roboto" w:hAnsi="Roboto" w:cs="Times New Roman"/>
        </w:rPr>
        <w:t xml:space="preserve">in workplaces </w:t>
      </w:r>
      <w:r w:rsidR="007218AA" w:rsidRPr="004942E9">
        <w:rPr>
          <w:rFonts w:ascii="Roboto" w:hAnsi="Roboto" w:cs="Times New Roman"/>
        </w:rPr>
        <w:t>remains elusive for many org</w:t>
      </w:r>
      <w:r w:rsidR="003E4F6E">
        <w:rPr>
          <w:rFonts w:ascii="Roboto" w:hAnsi="Roboto" w:cs="Times New Roman"/>
        </w:rPr>
        <w:t>anisations</w:t>
      </w:r>
      <w:r w:rsidR="005D7BED">
        <w:rPr>
          <w:rFonts w:ascii="Roboto" w:hAnsi="Roboto" w:cs="Times New Roman"/>
        </w:rPr>
        <w:t>.</w:t>
      </w:r>
      <w:r w:rsidR="00643D99">
        <w:rPr>
          <w:rFonts w:ascii="Roboto" w:hAnsi="Roboto" w:cs="Times New Roman"/>
        </w:rPr>
        <w:t xml:space="preserve"> </w:t>
      </w:r>
      <w:r w:rsidR="00396B73">
        <w:rPr>
          <w:rFonts w:ascii="Roboto" w:hAnsi="Roboto" w:cs="Times New Roman"/>
        </w:rPr>
        <w:t>T</w:t>
      </w:r>
      <w:r w:rsidR="003E4F6E">
        <w:rPr>
          <w:rFonts w:ascii="Roboto" w:hAnsi="Roboto" w:cs="Times New Roman"/>
        </w:rPr>
        <w:t xml:space="preserve">his paper suggests that </w:t>
      </w:r>
      <w:r w:rsidR="008024A1">
        <w:rPr>
          <w:rFonts w:ascii="Roboto" w:hAnsi="Roboto" w:cs="Times New Roman"/>
        </w:rPr>
        <w:t>t</w:t>
      </w:r>
      <w:r w:rsidR="00FA2325">
        <w:rPr>
          <w:rFonts w:ascii="Roboto" w:hAnsi="Roboto" w:cs="Times New Roman"/>
        </w:rPr>
        <w:t xml:space="preserve">wo factors are important </w:t>
      </w:r>
      <w:r w:rsidR="00396B73">
        <w:rPr>
          <w:rFonts w:ascii="Roboto" w:hAnsi="Roboto" w:cs="Times New Roman"/>
        </w:rPr>
        <w:t>here;</w:t>
      </w:r>
      <w:r w:rsidR="00FA2325">
        <w:rPr>
          <w:rFonts w:ascii="Roboto" w:hAnsi="Roboto" w:cs="Times New Roman"/>
        </w:rPr>
        <w:t xml:space="preserve"> effective identification and reporting on these types of risks</w:t>
      </w:r>
      <w:r w:rsidR="00791DD0">
        <w:rPr>
          <w:rFonts w:ascii="Roboto" w:hAnsi="Roboto" w:cs="Times New Roman"/>
        </w:rPr>
        <w:t xml:space="preserve"> and assessments of the effectiveness of measures to mitigate these risks</w:t>
      </w:r>
      <w:r w:rsidR="00FA2325">
        <w:rPr>
          <w:rFonts w:ascii="Roboto" w:hAnsi="Roboto" w:cs="Times New Roman"/>
        </w:rPr>
        <w:t xml:space="preserve"> </w:t>
      </w:r>
      <w:r w:rsidR="00791DD0">
        <w:rPr>
          <w:rFonts w:ascii="Roboto" w:hAnsi="Roboto" w:cs="Times New Roman"/>
        </w:rPr>
        <w:t>or ‘D</w:t>
      </w:r>
      <w:r w:rsidR="004A573F">
        <w:rPr>
          <w:rFonts w:ascii="Roboto" w:hAnsi="Roboto" w:cs="Times New Roman"/>
        </w:rPr>
        <w:t xml:space="preserve">iverse </w:t>
      </w:r>
      <w:r w:rsidR="00791DD0">
        <w:rPr>
          <w:rFonts w:ascii="Roboto" w:hAnsi="Roboto" w:cs="Times New Roman"/>
        </w:rPr>
        <w:t>R</w:t>
      </w:r>
      <w:r w:rsidR="00FA2325">
        <w:rPr>
          <w:rFonts w:ascii="Roboto" w:hAnsi="Roboto" w:cs="Times New Roman"/>
        </w:rPr>
        <w:t xml:space="preserve">isk </w:t>
      </w:r>
      <w:r w:rsidR="00791DD0">
        <w:rPr>
          <w:rFonts w:ascii="Roboto" w:hAnsi="Roboto" w:cs="Times New Roman"/>
        </w:rPr>
        <w:t>M</w:t>
      </w:r>
      <w:r w:rsidR="00FA2325">
        <w:rPr>
          <w:rFonts w:ascii="Roboto" w:hAnsi="Roboto" w:cs="Times New Roman"/>
        </w:rPr>
        <w:t>anagement</w:t>
      </w:r>
      <w:r w:rsidR="00791DD0">
        <w:rPr>
          <w:rFonts w:ascii="Roboto" w:hAnsi="Roboto" w:cs="Times New Roman"/>
        </w:rPr>
        <w:t>’</w:t>
      </w:r>
      <w:r w:rsidR="00FA2325">
        <w:rPr>
          <w:rFonts w:ascii="Roboto" w:hAnsi="Roboto" w:cs="Times New Roman"/>
        </w:rPr>
        <w:t xml:space="preserve">; and diverse perspectives being included in oversight </w:t>
      </w:r>
      <w:r w:rsidR="00791DD0">
        <w:rPr>
          <w:rFonts w:ascii="Roboto" w:hAnsi="Roboto" w:cs="Times New Roman"/>
        </w:rPr>
        <w:t xml:space="preserve"> and decision making or ‘I</w:t>
      </w:r>
      <w:r w:rsidR="00272BE1">
        <w:rPr>
          <w:rFonts w:ascii="Roboto" w:hAnsi="Roboto" w:cs="Times New Roman"/>
        </w:rPr>
        <w:t xml:space="preserve">nclusive </w:t>
      </w:r>
      <w:r w:rsidR="00791DD0">
        <w:rPr>
          <w:rFonts w:ascii="Roboto" w:hAnsi="Roboto" w:cs="Times New Roman"/>
        </w:rPr>
        <w:t>O</w:t>
      </w:r>
      <w:r w:rsidR="00272BE1">
        <w:rPr>
          <w:rFonts w:ascii="Roboto" w:hAnsi="Roboto" w:cs="Times New Roman"/>
        </w:rPr>
        <w:t>versight</w:t>
      </w:r>
      <w:r w:rsidR="00FA2325">
        <w:rPr>
          <w:rFonts w:ascii="Roboto" w:hAnsi="Roboto" w:cs="Times New Roman"/>
        </w:rPr>
        <w:t>.</w:t>
      </w:r>
    </w:p>
    <w:p w14:paraId="109CE895" w14:textId="77777777" w:rsidR="00791DD0" w:rsidRDefault="00791DD0" w:rsidP="00A53EE7">
      <w:pPr>
        <w:rPr>
          <w:rFonts w:ascii="Roboto" w:hAnsi="Roboto" w:cs="Times New Roman"/>
          <w:i/>
          <w:iCs/>
        </w:rPr>
      </w:pPr>
    </w:p>
    <w:p w14:paraId="25E5A090" w14:textId="74A59DA0" w:rsidR="00AF4B3B" w:rsidRPr="00AF4B3B" w:rsidRDefault="00AF4B3B" w:rsidP="00A53EE7">
      <w:pPr>
        <w:rPr>
          <w:rFonts w:ascii="Roboto" w:hAnsi="Roboto" w:cs="Times New Roman"/>
          <w:i/>
          <w:iCs/>
        </w:rPr>
      </w:pPr>
      <w:r w:rsidRPr="00AF4B3B">
        <w:rPr>
          <w:rFonts w:ascii="Roboto" w:hAnsi="Roboto" w:cs="Times New Roman"/>
          <w:i/>
          <w:iCs/>
        </w:rPr>
        <w:t>Diverse Risk Management</w:t>
      </w:r>
    </w:p>
    <w:p w14:paraId="691BDF58" w14:textId="77777777" w:rsidR="00AF4B3B" w:rsidRDefault="00AF4B3B" w:rsidP="00A53EE7">
      <w:pPr>
        <w:rPr>
          <w:rFonts w:ascii="Roboto" w:hAnsi="Roboto" w:cs="Times New Roman"/>
        </w:rPr>
      </w:pPr>
    </w:p>
    <w:p w14:paraId="4BA10105" w14:textId="6C7F0537" w:rsidR="00A53EE7" w:rsidRDefault="00A53EE7" w:rsidP="00A53EE7">
      <w:pPr>
        <w:rPr>
          <w:rFonts w:ascii="Roboto" w:hAnsi="Roboto" w:cs="Times New Roman"/>
        </w:rPr>
      </w:pPr>
      <w:r w:rsidRPr="004942E9">
        <w:rPr>
          <w:rFonts w:ascii="Roboto" w:hAnsi="Roboto" w:cs="Times New Roman"/>
        </w:rPr>
        <w:t xml:space="preserve">Human risk assessments </w:t>
      </w:r>
      <w:r w:rsidR="00F63C5C">
        <w:rPr>
          <w:rFonts w:ascii="Roboto" w:hAnsi="Roboto" w:cs="Times New Roman"/>
        </w:rPr>
        <w:t xml:space="preserve">including </w:t>
      </w:r>
      <w:r w:rsidR="00AF4B3B">
        <w:rPr>
          <w:rFonts w:ascii="Roboto" w:hAnsi="Roboto" w:cs="Times New Roman"/>
        </w:rPr>
        <w:t>inclusi</w:t>
      </w:r>
      <w:r w:rsidR="008024A1">
        <w:rPr>
          <w:rFonts w:ascii="Roboto" w:hAnsi="Roboto" w:cs="Times New Roman"/>
        </w:rPr>
        <w:t>on</w:t>
      </w:r>
      <w:r w:rsidR="00AF4B3B">
        <w:rPr>
          <w:rFonts w:ascii="Roboto" w:hAnsi="Roboto" w:cs="Times New Roman"/>
        </w:rPr>
        <w:t xml:space="preserve"> and diversity considerations </w:t>
      </w:r>
      <w:r w:rsidR="006646B0">
        <w:rPr>
          <w:rFonts w:ascii="Roboto" w:hAnsi="Roboto" w:cs="Times New Roman"/>
        </w:rPr>
        <w:t>c</w:t>
      </w:r>
      <w:r w:rsidRPr="004942E9">
        <w:rPr>
          <w:rFonts w:ascii="Roboto" w:hAnsi="Roboto" w:cs="Times New Roman"/>
        </w:rPr>
        <w:t xml:space="preserve">ould be incorporated into </w:t>
      </w:r>
      <w:r w:rsidR="00A22F7E">
        <w:rPr>
          <w:rFonts w:ascii="Roboto" w:hAnsi="Roboto" w:cs="Times New Roman"/>
        </w:rPr>
        <w:t xml:space="preserve">established </w:t>
      </w:r>
      <w:r w:rsidRPr="004942E9">
        <w:rPr>
          <w:rFonts w:ascii="Roboto" w:hAnsi="Roboto" w:cs="Times New Roman"/>
        </w:rPr>
        <w:t>risk management processes</w:t>
      </w:r>
      <w:r w:rsidR="006646B0">
        <w:rPr>
          <w:rFonts w:ascii="Roboto" w:hAnsi="Roboto" w:cs="Times New Roman"/>
        </w:rPr>
        <w:t xml:space="preserve">, </w:t>
      </w:r>
      <w:r w:rsidRPr="004942E9">
        <w:rPr>
          <w:rFonts w:ascii="Roboto" w:hAnsi="Roboto" w:cs="Times New Roman"/>
        </w:rPr>
        <w:t>identifying potential risks to the well-being of members and staff</w:t>
      </w:r>
      <w:r w:rsidR="00AF4B3B">
        <w:rPr>
          <w:rFonts w:ascii="Roboto" w:hAnsi="Roboto" w:cs="Times New Roman"/>
        </w:rPr>
        <w:t xml:space="preserve"> from all backgrounds</w:t>
      </w:r>
      <w:r w:rsidRPr="004942E9">
        <w:rPr>
          <w:rFonts w:ascii="Roboto" w:hAnsi="Roboto" w:cs="Times New Roman"/>
        </w:rPr>
        <w:t>, evaluating the impact of these risks, and implementing strategies to mitigate them</w:t>
      </w:r>
      <w:r w:rsidR="00A22F7E">
        <w:rPr>
          <w:rFonts w:ascii="Roboto" w:hAnsi="Roboto" w:cs="Times New Roman"/>
        </w:rPr>
        <w:t>, and assessing the effectiveness of these strategies</w:t>
      </w:r>
      <w:r w:rsidRPr="004942E9">
        <w:rPr>
          <w:rFonts w:ascii="Roboto" w:hAnsi="Roboto" w:cs="Times New Roman"/>
        </w:rPr>
        <w:t>. By proactively addressing human risk</w:t>
      </w:r>
      <w:r w:rsidR="006646B0">
        <w:rPr>
          <w:rFonts w:ascii="Roboto" w:hAnsi="Roboto" w:cs="Times New Roman"/>
        </w:rPr>
        <w:t>s in this context</w:t>
      </w:r>
      <w:r w:rsidRPr="004942E9">
        <w:rPr>
          <w:rFonts w:ascii="Roboto" w:hAnsi="Roboto" w:cs="Times New Roman"/>
        </w:rPr>
        <w:t xml:space="preserve"> </w:t>
      </w:r>
      <w:r w:rsidR="00402011">
        <w:rPr>
          <w:rFonts w:ascii="Roboto" w:hAnsi="Roboto" w:cs="Times New Roman"/>
        </w:rPr>
        <w:t>there may be an increase</w:t>
      </w:r>
      <w:r w:rsidR="00852F9D">
        <w:rPr>
          <w:rFonts w:ascii="Roboto" w:hAnsi="Roboto" w:cs="Times New Roman"/>
        </w:rPr>
        <w:t>d</w:t>
      </w:r>
      <w:r w:rsidR="00402011">
        <w:rPr>
          <w:rFonts w:ascii="Roboto" w:hAnsi="Roboto" w:cs="Times New Roman"/>
        </w:rPr>
        <w:t xml:space="preserve"> visibility of such risks and the effectiveness of attempts to mitigate them, assisting </w:t>
      </w:r>
      <w:r w:rsidR="00852F9D">
        <w:rPr>
          <w:rFonts w:ascii="Roboto" w:hAnsi="Roboto" w:cs="Times New Roman"/>
        </w:rPr>
        <w:t>to</w:t>
      </w:r>
      <w:r w:rsidRPr="004942E9">
        <w:rPr>
          <w:rFonts w:ascii="Roboto" w:hAnsi="Roboto" w:cs="Times New Roman"/>
        </w:rPr>
        <w:t xml:space="preserve"> create a safer and more supportive working environment.</w:t>
      </w:r>
    </w:p>
    <w:p w14:paraId="64DD4735" w14:textId="77777777" w:rsidR="00AF4B3B" w:rsidRDefault="00AF4B3B" w:rsidP="003C2711">
      <w:pPr>
        <w:rPr>
          <w:rFonts w:ascii="Roboto" w:hAnsi="Roboto" w:cs="Times New Roman"/>
        </w:rPr>
      </w:pPr>
    </w:p>
    <w:p w14:paraId="57035511" w14:textId="1129D9E9" w:rsidR="00AF4B3B" w:rsidRPr="00AF4B3B" w:rsidRDefault="00AF4B3B" w:rsidP="003C2711">
      <w:pPr>
        <w:rPr>
          <w:rFonts w:ascii="Roboto" w:hAnsi="Roboto" w:cs="Times New Roman"/>
          <w:i/>
          <w:iCs/>
        </w:rPr>
      </w:pPr>
      <w:r w:rsidRPr="00AF4B3B">
        <w:rPr>
          <w:rFonts w:ascii="Roboto" w:hAnsi="Roboto" w:cs="Times New Roman"/>
          <w:i/>
          <w:iCs/>
        </w:rPr>
        <w:t>Inclusive Oversight</w:t>
      </w:r>
    </w:p>
    <w:p w14:paraId="6BCEEE9F" w14:textId="77777777" w:rsidR="00AF4B3B" w:rsidRDefault="00AF4B3B" w:rsidP="003C2711">
      <w:pPr>
        <w:rPr>
          <w:rFonts w:ascii="Roboto" w:hAnsi="Roboto" w:cs="Times New Roman"/>
        </w:rPr>
      </w:pPr>
    </w:p>
    <w:p w14:paraId="515214B7" w14:textId="6C68F46F" w:rsidR="003C2711" w:rsidRPr="004942E9" w:rsidRDefault="000E0035" w:rsidP="003C2711">
      <w:pPr>
        <w:rPr>
          <w:rFonts w:ascii="Roboto" w:hAnsi="Roboto" w:cs="Times New Roman"/>
        </w:rPr>
      </w:pPr>
      <w:r>
        <w:rPr>
          <w:rFonts w:ascii="Roboto" w:hAnsi="Roboto" w:cs="Times New Roman"/>
        </w:rPr>
        <w:t>T</w:t>
      </w:r>
      <w:r w:rsidR="003C2711" w:rsidRPr="003C2711">
        <w:rPr>
          <w:rFonts w:ascii="Roboto" w:hAnsi="Roboto"/>
        </w:rPr>
        <w:t xml:space="preserve">he </w:t>
      </w:r>
      <w:r w:rsidR="003C2711" w:rsidRPr="003C2711">
        <w:rPr>
          <w:rStyle w:val="Emphasis"/>
          <w:rFonts w:ascii="Roboto" w:hAnsi="Roboto"/>
        </w:rPr>
        <w:t>Green Shoots of Change in the Boardroom</w:t>
      </w:r>
      <w:r w:rsidR="003C2711" w:rsidRPr="003C2711">
        <w:rPr>
          <w:rFonts w:ascii="Roboto" w:hAnsi="Roboto"/>
        </w:rPr>
        <w:t xml:space="preserve"> review by Deloitte assesses the impact of board diversity. The review highlights the benefits of appointing</w:t>
      </w:r>
      <w:r w:rsidR="00EB212B">
        <w:rPr>
          <w:rFonts w:ascii="Roboto" w:hAnsi="Roboto"/>
        </w:rPr>
        <w:t xml:space="preserve"> board members</w:t>
      </w:r>
      <w:r w:rsidR="001658BC">
        <w:rPr>
          <w:rFonts w:ascii="Roboto" w:hAnsi="Roboto"/>
        </w:rPr>
        <w:t xml:space="preserve"> from diverse backgrounds</w:t>
      </w:r>
      <w:r w:rsidR="003C2711" w:rsidRPr="003C2711">
        <w:rPr>
          <w:rFonts w:ascii="Roboto" w:hAnsi="Roboto"/>
        </w:rPr>
        <w:t>.</w:t>
      </w:r>
      <w:r w:rsidR="003C2711">
        <w:rPr>
          <w:rStyle w:val="FootnoteReference"/>
          <w:rFonts w:ascii="Roboto" w:hAnsi="Roboto"/>
        </w:rPr>
        <w:footnoteReference w:id="29"/>
      </w:r>
      <w:r w:rsidR="003C2711">
        <w:rPr>
          <w:rFonts w:ascii="Roboto" w:hAnsi="Roboto"/>
        </w:rPr>
        <w:t xml:space="preserve"> T</w:t>
      </w:r>
      <w:r w:rsidR="003C2711" w:rsidRPr="004942E9">
        <w:rPr>
          <w:rFonts w:ascii="Roboto" w:hAnsi="Roboto" w:cs="Times New Roman"/>
        </w:rPr>
        <w:t xml:space="preserve">he NSW Treasury is </w:t>
      </w:r>
      <w:r w:rsidR="005177E3">
        <w:rPr>
          <w:rFonts w:ascii="Roboto" w:hAnsi="Roboto" w:cs="Times New Roman"/>
        </w:rPr>
        <w:t xml:space="preserve">currently </w:t>
      </w:r>
      <w:r w:rsidR="003C2711" w:rsidRPr="004942E9">
        <w:rPr>
          <w:rFonts w:ascii="Roboto" w:hAnsi="Roboto" w:cs="Times New Roman"/>
        </w:rPr>
        <w:t>undertaking a consultation process to review the</w:t>
      </w:r>
      <w:r w:rsidR="005177E3">
        <w:rPr>
          <w:rFonts w:ascii="Roboto" w:hAnsi="Roboto" w:cs="Times New Roman"/>
        </w:rPr>
        <w:t xml:space="preserve"> </w:t>
      </w:r>
      <w:r w:rsidR="005177E3" w:rsidRPr="00272BE1">
        <w:rPr>
          <w:rFonts w:ascii="Roboto" w:hAnsi="Roboto" w:cs="Times New Roman"/>
          <w:i/>
          <w:iCs/>
        </w:rPr>
        <w:t>Internal Audit and Risk Management Policy</w:t>
      </w:r>
      <w:r w:rsidR="003C2711" w:rsidRPr="004942E9">
        <w:rPr>
          <w:rFonts w:ascii="Roboto" w:hAnsi="Roboto" w:cs="Times New Roman"/>
        </w:rPr>
        <w:t>.</w:t>
      </w:r>
      <w:r w:rsidR="005177E3">
        <w:rPr>
          <w:rFonts w:ascii="Roboto" w:hAnsi="Roboto" w:cs="Times New Roman"/>
        </w:rPr>
        <w:t xml:space="preserve"> </w:t>
      </w:r>
      <w:r w:rsidR="005177E3" w:rsidRPr="005177E3">
        <w:rPr>
          <w:rFonts w:ascii="Roboto" w:hAnsi="Roboto" w:cs="Times New Roman"/>
        </w:rPr>
        <w:t xml:space="preserve">The purpose of </w:t>
      </w:r>
      <w:r w:rsidR="00272BE1">
        <w:rPr>
          <w:rFonts w:ascii="Roboto" w:hAnsi="Roboto" w:cs="Times New Roman"/>
        </w:rPr>
        <w:t>the policy</w:t>
      </w:r>
      <w:r w:rsidR="005177E3" w:rsidRPr="005177E3">
        <w:rPr>
          <w:rFonts w:ascii="Roboto" w:hAnsi="Roboto" w:cs="Times New Roman"/>
        </w:rPr>
        <w:t xml:space="preserve"> is to set minimum standards in relation to risk management, internal audit, and Audit and Risk Committees (ARCs). T</w:t>
      </w:r>
      <w:r w:rsidR="006054E6">
        <w:rPr>
          <w:rFonts w:ascii="Roboto" w:hAnsi="Roboto" w:cs="Times New Roman"/>
        </w:rPr>
        <w:t>he policy</w:t>
      </w:r>
      <w:r w:rsidR="005177E3" w:rsidRPr="005177E3">
        <w:rPr>
          <w:rFonts w:ascii="Roboto" w:hAnsi="Roboto" w:cs="Times New Roman"/>
        </w:rPr>
        <w:t xml:space="preserve"> also seeks to promote best practice standards and frameworks.</w:t>
      </w:r>
      <w:r w:rsidR="005177E3">
        <w:t xml:space="preserve"> </w:t>
      </w:r>
      <w:r w:rsidR="005177E3">
        <w:rPr>
          <w:rStyle w:val="FootnoteReference"/>
          <w:rFonts w:ascii="Roboto" w:hAnsi="Roboto" w:cs="Times New Roman"/>
        </w:rPr>
        <w:footnoteReference w:id="30"/>
      </w:r>
      <w:r w:rsidR="003C2711" w:rsidRPr="004942E9">
        <w:rPr>
          <w:rFonts w:ascii="Roboto" w:hAnsi="Roboto" w:cs="Times New Roman"/>
        </w:rPr>
        <w:t xml:space="preserve"> </w:t>
      </w:r>
      <w:r w:rsidR="006054E6">
        <w:rPr>
          <w:rFonts w:ascii="Roboto" w:hAnsi="Roboto" w:cs="Times New Roman"/>
        </w:rPr>
        <w:t>Importantly for the discussion here the</w:t>
      </w:r>
      <w:r w:rsidR="003C2711" w:rsidRPr="004942E9">
        <w:rPr>
          <w:rFonts w:ascii="Roboto" w:hAnsi="Roboto" w:cs="Times New Roman"/>
        </w:rPr>
        <w:t xml:space="preserve"> </w:t>
      </w:r>
      <w:r w:rsidR="00AC4626">
        <w:rPr>
          <w:rFonts w:ascii="Roboto" w:hAnsi="Roboto" w:cs="Times New Roman"/>
        </w:rPr>
        <w:t xml:space="preserve">consultation </w:t>
      </w:r>
      <w:r w:rsidR="003C2711" w:rsidRPr="004942E9">
        <w:rPr>
          <w:rFonts w:ascii="Roboto" w:hAnsi="Roboto" w:cs="Times New Roman"/>
        </w:rPr>
        <w:t xml:space="preserve">paper </w:t>
      </w:r>
      <w:r w:rsidR="005A195A">
        <w:rPr>
          <w:rFonts w:ascii="Roboto" w:hAnsi="Roboto" w:cs="Times New Roman"/>
        </w:rPr>
        <w:t>identifies the importance of</w:t>
      </w:r>
      <w:r w:rsidR="003C2711" w:rsidRPr="004942E9">
        <w:rPr>
          <w:rFonts w:ascii="Roboto" w:hAnsi="Roboto" w:cs="Times New Roman"/>
        </w:rPr>
        <w:t xml:space="preserve"> diversity of an A</w:t>
      </w:r>
      <w:r w:rsidR="003C2711">
        <w:rPr>
          <w:rFonts w:ascii="Roboto" w:hAnsi="Roboto" w:cs="Times New Roman"/>
        </w:rPr>
        <w:t xml:space="preserve">udit and </w:t>
      </w:r>
      <w:r w:rsidR="003C2711" w:rsidRPr="004942E9">
        <w:rPr>
          <w:rFonts w:ascii="Roboto" w:hAnsi="Roboto" w:cs="Times New Roman"/>
        </w:rPr>
        <w:t>R</w:t>
      </w:r>
      <w:r w:rsidR="003C2711">
        <w:rPr>
          <w:rFonts w:ascii="Roboto" w:hAnsi="Roboto" w:cs="Times New Roman"/>
        </w:rPr>
        <w:t>isk Committee (ARC)</w:t>
      </w:r>
      <w:r w:rsidR="004A573F">
        <w:rPr>
          <w:rFonts w:ascii="Roboto" w:hAnsi="Roboto" w:cs="Times New Roman"/>
        </w:rPr>
        <w:t xml:space="preserve">. </w:t>
      </w:r>
    </w:p>
    <w:p w14:paraId="06C9B2CF" w14:textId="77777777" w:rsidR="003C2711" w:rsidRDefault="003C2711" w:rsidP="00D96380">
      <w:pPr>
        <w:rPr>
          <w:rFonts w:ascii="Roboto" w:hAnsi="Roboto"/>
        </w:rPr>
      </w:pPr>
    </w:p>
    <w:p w14:paraId="01CD4E32" w14:textId="757B80FD" w:rsidR="00217D0B" w:rsidRPr="00217D0B" w:rsidRDefault="00A53EE7" w:rsidP="00A53EE7">
      <w:pPr>
        <w:rPr>
          <w:rStyle w:val="Strong"/>
          <w:rFonts w:ascii="Roboto" w:hAnsi="Roboto"/>
          <w:b w:val="0"/>
          <w:bCs w:val="0"/>
        </w:rPr>
      </w:pPr>
      <w:r w:rsidRPr="004942E9">
        <w:rPr>
          <w:rFonts w:ascii="Roboto" w:hAnsi="Roboto" w:cs="Times New Roman"/>
        </w:rPr>
        <w:t>Incorporating diverse perspectives into</w:t>
      </w:r>
      <w:r>
        <w:rPr>
          <w:rFonts w:ascii="Roboto" w:hAnsi="Roboto" w:cs="Times New Roman"/>
        </w:rPr>
        <w:t xml:space="preserve"> governance</w:t>
      </w:r>
      <w:r w:rsidRPr="004942E9">
        <w:rPr>
          <w:rFonts w:ascii="Roboto" w:hAnsi="Roboto" w:cs="Times New Roman"/>
        </w:rPr>
        <w:t xml:space="preserve"> processes</w:t>
      </w:r>
      <w:r w:rsidR="001775E1">
        <w:rPr>
          <w:rFonts w:ascii="Roboto" w:hAnsi="Roboto" w:cs="Times New Roman"/>
        </w:rPr>
        <w:t xml:space="preserve"> and decision making</w:t>
      </w:r>
      <w:r w:rsidRPr="004942E9">
        <w:rPr>
          <w:rFonts w:ascii="Roboto" w:hAnsi="Roboto" w:cs="Times New Roman"/>
        </w:rPr>
        <w:t xml:space="preserve"> is </w:t>
      </w:r>
      <w:r>
        <w:rPr>
          <w:rFonts w:ascii="Roboto" w:hAnsi="Roboto" w:cs="Times New Roman"/>
        </w:rPr>
        <w:t>important to</w:t>
      </w:r>
      <w:r w:rsidRPr="004942E9">
        <w:rPr>
          <w:rFonts w:ascii="Roboto" w:hAnsi="Roboto" w:cs="Times New Roman"/>
        </w:rPr>
        <w:t xml:space="preserve"> understan</w:t>
      </w:r>
      <w:r>
        <w:rPr>
          <w:rFonts w:ascii="Roboto" w:hAnsi="Roboto" w:cs="Times New Roman"/>
        </w:rPr>
        <w:t>d</w:t>
      </w:r>
      <w:r w:rsidRPr="004942E9">
        <w:rPr>
          <w:rFonts w:ascii="Roboto" w:hAnsi="Roboto" w:cs="Times New Roman"/>
        </w:rPr>
        <w:t xml:space="preserve"> and address human</w:t>
      </w:r>
      <w:r w:rsidR="00AF4B3B">
        <w:rPr>
          <w:rFonts w:ascii="Roboto" w:hAnsi="Roboto" w:cs="Times New Roman"/>
        </w:rPr>
        <w:t xml:space="preserve"> related</w:t>
      </w:r>
      <w:r w:rsidRPr="004942E9">
        <w:rPr>
          <w:rFonts w:ascii="Roboto" w:hAnsi="Roboto" w:cs="Times New Roman"/>
        </w:rPr>
        <w:t xml:space="preserve"> risks. </w:t>
      </w:r>
      <w:r>
        <w:rPr>
          <w:rFonts w:ascii="Roboto" w:hAnsi="Roboto" w:cs="Times New Roman"/>
        </w:rPr>
        <w:t xml:space="preserve">The </w:t>
      </w:r>
      <w:r w:rsidRPr="004942E9">
        <w:rPr>
          <w:rFonts w:ascii="Roboto" w:hAnsi="Roboto" w:cs="Times New Roman"/>
        </w:rPr>
        <w:t xml:space="preserve">experiences and needs of all members and staff </w:t>
      </w:r>
      <w:r>
        <w:rPr>
          <w:rFonts w:ascii="Roboto" w:hAnsi="Roboto" w:cs="Times New Roman"/>
        </w:rPr>
        <w:t xml:space="preserve">should be </w:t>
      </w:r>
      <w:r w:rsidRPr="004942E9">
        <w:rPr>
          <w:rFonts w:ascii="Roboto" w:hAnsi="Roboto" w:cs="Times New Roman"/>
        </w:rPr>
        <w:t>considered</w:t>
      </w:r>
      <w:r>
        <w:rPr>
          <w:rFonts w:ascii="Roboto" w:hAnsi="Roboto" w:cs="Times New Roman"/>
        </w:rPr>
        <w:t xml:space="preserve"> to achieve</w:t>
      </w:r>
      <w:r w:rsidRPr="004942E9">
        <w:rPr>
          <w:rFonts w:ascii="Roboto" w:hAnsi="Roboto" w:cs="Times New Roman"/>
        </w:rPr>
        <w:t xml:space="preserve"> more effective and equitable outcome</w:t>
      </w:r>
      <w:r>
        <w:rPr>
          <w:rFonts w:ascii="Roboto" w:hAnsi="Roboto" w:cs="Times New Roman"/>
        </w:rPr>
        <w:t>s</w:t>
      </w:r>
      <w:r w:rsidRPr="004942E9">
        <w:rPr>
          <w:rFonts w:ascii="Roboto" w:hAnsi="Roboto" w:cs="Times New Roman"/>
        </w:rPr>
        <w:t xml:space="preserve">. </w:t>
      </w:r>
      <w:r w:rsidR="00217D0B" w:rsidRPr="00217D0B">
        <w:rPr>
          <w:rFonts w:ascii="Roboto" w:hAnsi="Roboto" w:cs="Times New Roman"/>
        </w:rPr>
        <w:t xml:space="preserve">While it may be </w:t>
      </w:r>
      <w:r w:rsidR="00217D0B" w:rsidRPr="00217D0B">
        <w:rPr>
          <w:rStyle w:val="cf01"/>
          <w:rFonts w:ascii="Roboto" w:hAnsi="Roboto"/>
          <w:sz w:val="22"/>
          <w:szCs w:val="22"/>
        </w:rPr>
        <w:t>impossible to design for every possible permutation and combination of diversity factors</w:t>
      </w:r>
      <w:r w:rsidR="00217D0B">
        <w:rPr>
          <w:rStyle w:val="cf01"/>
          <w:rFonts w:ascii="Roboto" w:hAnsi="Roboto"/>
          <w:sz w:val="22"/>
          <w:szCs w:val="22"/>
        </w:rPr>
        <w:t>,</w:t>
      </w:r>
      <w:r w:rsidR="00217D0B" w:rsidRPr="00217D0B">
        <w:rPr>
          <w:rStyle w:val="cf01"/>
          <w:rFonts w:ascii="Roboto" w:hAnsi="Roboto"/>
          <w:sz w:val="22"/>
          <w:szCs w:val="22"/>
        </w:rPr>
        <w:t xml:space="preserve"> </w:t>
      </w:r>
      <w:r w:rsidR="00217D0B">
        <w:rPr>
          <w:rStyle w:val="cf01"/>
          <w:rFonts w:ascii="Roboto" w:hAnsi="Roboto"/>
          <w:sz w:val="22"/>
          <w:szCs w:val="22"/>
        </w:rPr>
        <w:t xml:space="preserve">by </w:t>
      </w:r>
      <w:r w:rsidR="00217D0B" w:rsidRPr="00217D0B">
        <w:rPr>
          <w:rStyle w:val="cf01"/>
          <w:rFonts w:ascii="Roboto" w:hAnsi="Roboto"/>
          <w:sz w:val="22"/>
          <w:szCs w:val="22"/>
        </w:rPr>
        <w:t>including diverse perspectives</w:t>
      </w:r>
      <w:r w:rsidR="00217D0B">
        <w:rPr>
          <w:rStyle w:val="Strong"/>
          <w:rFonts w:ascii="Roboto" w:hAnsi="Roboto"/>
          <w:b w:val="0"/>
          <w:bCs w:val="0"/>
        </w:rPr>
        <w:t xml:space="preserve">, processes, and understandings </w:t>
      </w:r>
      <w:r w:rsidR="00645FF5">
        <w:rPr>
          <w:rStyle w:val="Strong"/>
          <w:rFonts w:ascii="Roboto" w:hAnsi="Roboto"/>
          <w:b w:val="0"/>
          <w:bCs w:val="0"/>
        </w:rPr>
        <w:t>can</w:t>
      </w:r>
      <w:r w:rsidR="00217D0B">
        <w:rPr>
          <w:rStyle w:val="Strong"/>
          <w:rFonts w:ascii="Roboto" w:hAnsi="Roboto"/>
          <w:b w:val="0"/>
          <w:bCs w:val="0"/>
        </w:rPr>
        <w:t xml:space="preserve"> change and better consider the </w:t>
      </w:r>
      <w:r w:rsidR="001658BC">
        <w:rPr>
          <w:rStyle w:val="Strong"/>
          <w:rFonts w:ascii="Roboto" w:hAnsi="Roboto"/>
          <w:b w:val="0"/>
          <w:bCs w:val="0"/>
        </w:rPr>
        <w:t xml:space="preserve">broad </w:t>
      </w:r>
      <w:r w:rsidR="00217D0B" w:rsidRPr="00B306F2">
        <w:rPr>
          <w:rStyle w:val="Strong"/>
          <w:rFonts w:ascii="Roboto" w:hAnsi="Roboto"/>
          <w:b w:val="0"/>
          <w:bCs w:val="0"/>
        </w:rPr>
        <w:t xml:space="preserve">diversity of human experience and the diversity of human related risks.  </w:t>
      </w:r>
      <w:r w:rsidR="001658BC" w:rsidRPr="00B306F2">
        <w:rPr>
          <w:rStyle w:val="Strong"/>
          <w:rFonts w:ascii="Roboto" w:hAnsi="Roboto"/>
          <w:b w:val="0"/>
          <w:bCs w:val="0"/>
        </w:rPr>
        <w:t>Put simply</w:t>
      </w:r>
      <w:r w:rsidR="00AC4626">
        <w:rPr>
          <w:rStyle w:val="Strong"/>
          <w:rFonts w:ascii="Roboto" w:hAnsi="Roboto"/>
          <w:b w:val="0"/>
          <w:bCs w:val="0"/>
        </w:rPr>
        <w:t>,</w:t>
      </w:r>
      <w:r w:rsidR="001658BC" w:rsidRPr="00B306F2">
        <w:rPr>
          <w:rStyle w:val="Strong"/>
          <w:rFonts w:ascii="Roboto" w:hAnsi="Roboto"/>
          <w:b w:val="0"/>
          <w:bCs w:val="0"/>
        </w:rPr>
        <w:t xml:space="preserve"> approaches and systems </w:t>
      </w:r>
      <w:r w:rsidR="00B306F2">
        <w:rPr>
          <w:rStyle w:val="Strong"/>
          <w:rFonts w:ascii="Roboto" w:hAnsi="Roboto"/>
          <w:b w:val="0"/>
          <w:bCs w:val="0"/>
        </w:rPr>
        <w:t>can change to</w:t>
      </w:r>
      <w:r w:rsidR="001658BC" w:rsidRPr="00B306F2">
        <w:rPr>
          <w:rStyle w:val="Strong"/>
          <w:rFonts w:ascii="Roboto" w:hAnsi="Roboto"/>
          <w:b w:val="0"/>
          <w:bCs w:val="0"/>
        </w:rPr>
        <w:t xml:space="preserve"> assume diversity of experience</w:t>
      </w:r>
      <w:r w:rsidR="00B306F2">
        <w:rPr>
          <w:rStyle w:val="Strong"/>
          <w:rFonts w:ascii="Roboto" w:hAnsi="Roboto"/>
          <w:b w:val="0"/>
          <w:bCs w:val="0"/>
        </w:rPr>
        <w:t xml:space="preserve"> and identity</w:t>
      </w:r>
      <w:r w:rsidR="001658BC" w:rsidRPr="00B306F2">
        <w:rPr>
          <w:rStyle w:val="Strong"/>
          <w:rFonts w:ascii="Roboto" w:hAnsi="Roboto"/>
          <w:b w:val="0"/>
          <w:bCs w:val="0"/>
        </w:rPr>
        <w:t xml:space="preserve"> rather than </w:t>
      </w:r>
      <w:r w:rsidR="00B306F2">
        <w:rPr>
          <w:rStyle w:val="Strong"/>
          <w:rFonts w:ascii="Roboto" w:hAnsi="Roboto"/>
          <w:b w:val="0"/>
          <w:bCs w:val="0"/>
        </w:rPr>
        <w:t xml:space="preserve">to assume </w:t>
      </w:r>
      <w:r w:rsidR="00B306F2" w:rsidRPr="00B306F2">
        <w:rPr>
          <w:rStyle w:val="Strong"/>
          <w:rFonts w:ascii="Roboto" w:hAnsi="Roboto"/>
          <w:b w:val="0"/>
          <w:bCs w:val="0"/>
        </w:rPr>
        <w:t>experience</w:t>
      </w:r>
      <w:r w:rsidR="00B306F2">
        <w:rPr>
          <w:rStyle w:val="Strong"/>
          <w:rFonts w:ascii="Roboto" w:hAnsi="Roboto"/>
          <w:b w:val="0"/>
          <w:bCs w:val="0"/>
        </w:rPr>
        <w:t xml:space="preserve"> and identity</w:t>
      </w:r>
      <w:r w:rsidR="004B5DD1">
        <w:rPr>
          <w:rStyle w:val="Strong"/>
          <w:rFonts w:ascii="Roboto" w:hAnsi="Roboto"/>
          <w:b w:val="0"/>
          <w:bCs w:val="0"/>
        </w:rPr>
        <w:t xml:space="preserve"> is homogenous</w:t>
      </w:r>
      <w:r w:rsidR="00B306F2">
        <w:rPr>
          <w:rStyle w:val="Strong"/>
          <w:rFonts w:ascii="Roboto" w:hAnsi="Roboto"/>
          <w:b w:val="0"/>
          <w:bCs w:val="0"/>
        </w:rPr>
        <w:t xml:space="preserve">. </w:t>
      </w:r>
    </w:p>
    <w:p w14:paraId="059653A4" w14:textId="77777777" w:rsidR="00217D0B" w:rsidRDefault="00217D0B" w:rsidP="00A53EE7">
      <w:pPr>
        <w:rPr>
          <w:rStyle w:val="cf01"/>
        </w:rPr>
      </w:pPr>
    </w:p>
    <w:p w14:paraId="3B10FB5B" w14:textId="37C0FD97" w:rsidR="00A53EE7" w:rsidRDefault="00136DD7" w:rsidP="00A53EE7">
      <w:pPr>
        <w:rPr>
          <w:rFonts w:ascii="Roboto" w:hAnsi="Roboto" w:cs="Times New Roman"/>
        </w:rPr>
      </w:pPr>
      <w:r>
        <w:rPr>
          <w:rFonts w:ascii="Roboto" w:hAnsi="Roboto" w:cs="Times New Roman"/>
        </w:rPr>
        <w:t xml:space="preserve">The establishment of the LGBTIQA+ Taskforce </w:t>
      </w:r>
      <w:r w:rsidR="00AF4B3B">
        <w:rPr>
          <w:rFonts w:ascii="Roboto" w:hAnsi="Roboto" w:cs="Times New Roman"/>
        </w:rPr>
        <w:t>at the Parliament of NSW</w:t>
      </w:r>
      <w:r w:rsidR="009B0765">
        <w:rPr>
          <w:rFonts w:ascii="Roboto" w:hAnsi="Roboto" w:cs="Times New Roman"/>
        </w:rPr>
        <w:t xml:space="preserve"> is a</w:t>
      </w:r>
      <w:r>
        <w:rPr>
          <w:rFonts w:ascii="Roboto" w:hAnsi="Roboto" w:cs="Times New Roman"/>
        </w:rPr>
        <w:t xml:space="preserve"> positive development in this regard. </w:t>
      </w:r>
      <w:r w:rsidR="00643D99">
        <w:rPr>
          <w:rFonts w:ascii="Roboto" w:hAnsi="Roboto" w:cs="Times New Roman"/>
        </w:rPr>
        <w:t>These sorts of developments</w:t>
      </w:r>
      <w:r w:rsidR="00A53EE7" w:rsidRPr="004942E9">
        <w:rPr>
          <w:rFonts w:ascii="Roboto" w:hAnsi="Roboto" w:cs="Times New Roman"/>
        </w:rPr>
        <w:t xml:space="preserve"> </w:t>
      </w:r>
      <w:r w:rsidR="00AF4B3B">
        <w:rPr>
          <w:rFonts w:ascii="Roboto" w:hAnsi="Roboto" w:cs="Times New Roman"/>
        </w:rPr>
        <w:t xml:space="preserve">can </w:t>
      </w:r>
      <w:r w:rsidR="00A53EE7" w:rsidRPr="004942E9">
        <w:rPr>
          <w:rFonts w:ascii="Roboto" w:hAnsi="Roboto" w:cs="Times New Roman"/>
        </w:rPr>
        <w:t>foster a culture of inclusivity and respect, reinforcing positive cultural change</w:t>
      </w:r>
      <w:r w:rsidR="00A53EE7">
        <w:rPr>
          <w:rFonts w:ascii="Roboto" w:hAnsi="Roboto" w:cs="Times New Roman"/>
        </w:rPr>
        <w:t xml:space="preserve"> and arguably strengthening the democratic nature of Parliament. </w:t>
      </w:r>
    </w:p>
    <w:p w14:paraId="6AF4CF56" w14:textId="77777777" w:rsidR="00010983" w:rsidRDefault="00010983" w:rsidP="00D96380">
      <w:pPr>
        <w:rPr>
          <w:rFonts w:ascii="Roboto" w:hAnsi="Roboto"/>
        </w:rPr>
      </w:pPr>
    </w:p>
    <w:p w14:paraId="4901C0BC" w14:textId="5DC7CB3E" w:rsidR="001E1E7F" w:rsidRDefault="001E1E7F" w:rsidP="00D96380">
      <w:pPr>
        <w:rPr>
          <w:rFonts w:ascii="Roboto" w:hAnsi="Roboto"/>
        </w:rPr>
      </w:pPr>
      <w:r>
        <w:rPr>
          <w:rFonts w:ascii="Roboto" w:hAnsi="Roboto"/>
          <w:b/>
          <w:bCs/>
        </w:rPr>
        <w:t>Conclusion</w:t>
      </w:r>
    </w:p>
    <w:p w14:paraId="389061CA" w14:textId="77777777" w:rsidR="00C56C30" w:rsidRDefault="00C56C30" w:rsidP="00C56C30">
      <w:pPr>
        <w:rPr>
          <w:rFonts w:ascii="Roboto" w:hAnsi="Roboto" w:cs="Times New Roman"/>
        </w:rPr>
      </w:pPr>
    </w:p>
    <w:p w14:paraId="22EA9707" w14:textId="5A0593EA" w:rsidR="00AF4B3B" w:rsidRDefault="00652A10" w:rsidP="00652A10">
      <w:pPr>
        <w:rPr>
          <w:rFonts w:ascii="Roboto" w:hAnsi="Roboto"/>
        </w:rPr>
      </w:pPr>
      <w:r w:rsidRPr="00652A10">
        <w:rPr>
          <w:rFonts w:ascii="Roboto" w:hAnsi="Roboto"/>
        </w:rPr>
        <w:t>Creating a safe</w:t>
      </w:r>
      <w:r w:rsidR="00211E09">
        <w:rPr>
          <w:rFonts w:ascii="Roboto" w:hAnsi="Roboto"/>
        </w:rPr>
        <w:t xml:space="preserve">, </w:t>
      </w:r>
      <w:r w:rsidR="00085A1E">
        <w:rPr>
          <w:rFonts w:ascii="Roboto" w:hAnsi="Roboto"/>
        </w:rPr>
        <w:t>inclusive,</w:t>
      </w:r>
      <w:r w:rsidRPr="00652A10">
        <w:rPr>
          <w:rFonts w:ascii="Roboto" w:hAnsi="Roboto"/>
        </w:rPr>
        <w:t xml:space="preserve"> and respectful workplace in parliamentary settings </w:t>
      </w:r>
      <w:r w:rsidR="00AF4B3B">
        <w:rPr>
          <w:rFonts w:ascii="Roboto" w:hAnsi="Roboto"/>
        </w:rPr>
        <w:t xml:space="preserve">has some </w:t>
      </w:r>
      <w:proofErr w:type="gramStart"/>
      <w:r w:rsidR="00AF4B3B">
        <w:rPr>
          <w:rFonts w:ascii="Roboto" w:hAnsi="Roboto"/>
        </w:rPr>
        <w:t>particular challenges</w:t>
      </w:r>
      <w:proofErr w:type="gramEnd"/>
      <w:r w:rsidR="00AF4B3B">
        <w:rPr>
          <w:rFonts w:ascii="Roboto" w:hAnsi="Roboto"/>
        </w:rPr>
        <w:t xml:space="preserve">, and </w:t>
      </w:r>
      <w:r w:rsidRPr="00652A10">
        <w:rPr>
          <w:rFonts w:ascii="Roboto" w:hAnsi="Roboto"/>
        </w:rPr>
        <w:t xml:space="preserve">requires a comprehensive approach that addresses cultural, behavioural, and governance-related challenges. </w:t>
      </w:r>
      <w:r w:rsidR="00B5584F">
        <w:rPr>
          <w:rFonts w:ascii="Roboto" w:hAnsi="Roboto"/>
        </w:rPr>
        <w:t xml:space="preserve"> </w:t>
      </w:r>
      <w:r w:rsidR="003A64FB">
        <w:rPr>
          <w:rFonts w:ascii="Roboto" w:hAnsi="Roboto"/>
        </w:rPr>
        <w:t xml:space="preserve">Much has been achieved at the Parliament of NSW however it is recognised that to </w:t>
      </w:r>
      <w:r w:rsidR="00EC1B4E">
        <w:rPr>
          <w:rFonts w:ascii="Roboto" w:hAnsi="Roboto"/>
        </w:rPr>
        <w:t>ensure long-term positive change</w:t>
      </w:r>
      <w:r w:rsidR="00F22B4A">
        <w:rPr>
          <w:rFonts w:ascii="Roboto" w:hAnsi="Roboto"/>
        </w:rPr>
        <w:t xml:space="preserve"> ongoing ‘business as usual’ arrangements </w:t>
      </w:r>
      <w:r w:rsidR="00540BF8">
        <w:rPr>
          <w:rFonts w:ascii="Roboto" w:hAnsi="Roboto"/>
        </w:rPr>
        <w:t>need to continue to address cultural and behavioural</w:t>
      </w:r>
      <w:r w:rsidR="00AD06B3">
        <w:rPr>
          <w:rFonts w:ascii="Roboto" w:hAnsi="Roboto"/>
        </w:rPr>
        <w:t xml:space="preserve"> issues</w:t>
      </w:r>
      <w:r w:rsidR="00540BF8">
        <w:rPr>
          <w:rFonts w:ascii="Roboto" w:hAnsi="Roboto"/>
        </w:rPr>
        <w:t xml:space="preserve">. </w:t>
      </w:r>
      <w:r w:rsidR="00B4698F">
        <w:rPr>
          <w:rFonts w:ascii="Roboto" w:hAnsi="Roboto"/>
        </w:rPr>
        <w:t>While not a s</w:t>
      </w:r>
      <w:r w:rsidR="000A1671">
        <w:rPr>
          <w:rFonts w:ascii="Roboto" w:hAnsi="Roboto"/>
        </w:rPr>
        <w:t>il</w:t>
      </w:r>
      <w:r w:rsidR="00B4698F">
        <w:rPr>
          <w:rFonts w:ascii="Roboto" w:hAnsi="Roboto"/>
        </w:rPr>
        <w:t xml:space="preserve">ver bullet to </w:t>
      </w:r>
      <w:r w:rsidR="00B4698F" w:rsidRPr="00085A1E">
        <w:rPr>
          <w:rFonts w:ascii="Roboto" w:hAnsi="Roboto"/>
        </w:rPr>
        <w:t>address all challenges to effective change</w:t>
      </w:r>
      <w:r w:rsidR="00643D99" w:rsidRPr="00085A1E">
        <w:rPr>
          <w:rFonts w:ascii="Roboto" w:hAnsi="Roboto"/>
        </w:rPr>
        <w:t>,</w:t>
      </w:r>
      <w:r w:rsidR="00AF4B3B" w:rsidRPr="00085A1E">
        <w:rPr>
          <w:rFonts w:ascii="Roboto" w:hAnsi="Roboto"/>
        </w:rPr>
        <w:t xml:space="preserve"> </w:t>
      </w:r>
      <w:r w:rsidR="00540BF8" w:rsidRPr="00085A1E">
        <w:rPr>
          <w:rFonts w:ascii="Roboto" w:hAnsi="Roboto"/>
        </w:rPr>
        <w:t>established</w:t>
      </w:r>
      <w:r w:rsidR="00233A96" w:rsidRPr="00085A1E">
        <w:rPr>
          <w:rFonts w:ascii="Roboto" w:hAnsi="Roboto"/>
        </w:rPr>
        <w:t xml:space="preserve"> governance structures </w:t>
      </w:r>
      <w:r w:rsidR="00505CF0" w:rsidRPr="00085A1E">
        <w:rPr>
          <w:rFonts w:ascii="Roboto" w:hAnsi="Roboto"/>
        </w:rPr>
        <w:t>could</w:t>
      </w:r>
      <w:r w:rsidR="00233A96" w:rsidRPr="00085A1E">
        <w:rPr>
          <w:rFonts w:ascii="Roboto" w:hAnsi="Roboto"/>
        </w:rPr>
        <w:t xml:space="preserve"> </w:t>
      </w:r>
      <w:r w:rsidR="00540BF8" w:rsidRPr="00085A1E">
        <w:rPr>
          <w:rFonts w:ascii="Roboto" w:hAnsi="Roboto"/>
        </w:rPr>
        <w:t xml:space="preserve">have an increased </w:t>
      </w:r>
      <w:r w:rsidR="004C5605" w:rsidRPr="00085A1E">
        <w:rPr>
          <w:rFonts w:ascii="Roboto" w:hAnsi="Roboto"/>
        </w:rPr>
        <w:t xml:space="preserve">consideration of </w:t>
      </w:r>
      <w:r w:rsidR="00233A96" w:rsidRPr="00085A1E">
        <w:rPr>
          <w:rFonts w:ascii="Roboto" w:hAnsi="Roboto"/>
        </w:rPr>
        <w:t xml:space="preserve"> human</w:t>
      </w:r>
      <w:r w:rsidR="00D62475" w:rsidRPr="00085A1E">
        <w:rPr>
          <w:rFonts w:ascii="Roboto" w:hAnsi="Roboto"/>
        </w:rPr>
        <w:t xml:space="preserve"> </w:t>
      </w:r>
      <w:r w:rsidR="00233A96" w:rsidRPr="00085A1E">
        <w:rPr>
          <w:rFonts w:ascii="Roboto" w:hAnsi="Roboto"/>
        </w:rPr>
        <w:t>related risks</w:t>
      </w:r>
      <w:r w:rsidR="007325E8" w:rsidRPr="00085A1E">
        <w:rPr>
          <w:rFonts w:ascii="Roboto" w:hAnsi="Roboto"/>
        </w:rPr>
        <w:t xml:space="preserve"> through a lens of inclusion and diversity,</w:t>
      </w:r>
      <w:r w:rsidR="00DC2610" w:rsidRPr="00085A1E">
        <w:rPr>
          <w:rFonts w:ascii="Roboto" w:hAnsi="Roboto"/>
        </w:rPr>
        <w:t xml:space="preserve"> both in risk management and </w:t>
      </w:r>
      <w:r w:rsidR="00537C6D" w:rsidRPr="00085A1E">
        <w:rPr>
          <w:rFonts w:ascii="Roboto" w:hAnsi="Roboto"/>
        </w:rPr>
        <w:t>oversight arrangements</w:t>
      </w:r>
      <w:r w:rsidR="00085A1E" w:rsidRPr="00085A1E">
        <w:rPr>
          <w:rFonts w:ascii="Roboto" w:hAnsi="Roboto"/>
        </w:rPr>
        <w:t>. This would support the development of more mature policies and processes that genuinely achieve and sustain safe, inclusive, and respectful workplaces for everyone at Parliament.</w:t>
      </w:r>
      <w:r w:rsidR="00085A1E">
        <w:t xml:space="preserve"> </w:t>
      </w:r>
    </w:p>
    <w:p w14:paraId="37D8A79F" w14:textId="54CD00E2" w:rsidR="008D1849" w:rsidRDefault="008D1849" w:rsidP="002F2BED">
      <w:pPr>
        <w:rPr>
          <w:rFonts w:ascii="Roboto" w:hAnsi="Roboto" w:cs="Times New Roman"/>
        </w:rPr>
      </w:pPr>
    </w:p>
    <w:sectPr w:rsidR="008D18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9393" w14:textId="77777777" w:rsidR="00A859D0" w:rsidRDefault="00A859D0" w:rsidP="00D96380">
      <w:r>
        <w:separator/>
      </w:r>
    </w:p>
  </w:endnote>
  <w:endnote w:type="continuationSeparator" w:id="0">
    <w:p w14:paraId="45E3805F" w14:textId="77777777" w:rsidR="00A859D0" w:rsidRDefault="00A859D0" w:rsidP="00D9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0D23" w14:textId="77777777" w:rsidR="00A859D0" w:rsidRDefault="00A859D0" w:rsidP="00D96380">
      <w:r>
        <w:separator/>
      </w:r>
    </w:p>
  </w:footnote>
  <w:footnote w:type="continuationSeparator" w:id="0">
    <w:p w14:paraId="18BDE622" w14:textId="77777777" w:rsidR="00A859D0" w:rsidRDefault="00A859D0" w:rsidP="00D96380">
      <w:r>
        <w:continuationSeparator/>
      </w:r>
    </w:p>
  </w:footnote>
  <w:footnote w:id="1">
    <w:p w14:paraId="7984AB39" w14:textId="77777777" w:rsidR="00D96380" w:rsidRPr="00170AE7" w:rsidRDefault="00D96380" w:rsidP="00D96380">
      <w:pPr>
        <w:rPr>
          <w:rFonts w:ascii="Roboto" w:hAnsi="Roboto" w:cs="Times New Roman"/>
          <w:sz w:val="16"/>
          <w:szCs w:val="16"/>
        </w:rPr>
      </w:pPr>
      <w:r w:rsidRPr="00170AE7">
        <w:rPr>
          <w:rStyle w:val="FootnoteReference"/>
          <w:rFonts w:ascii="Roboto" w:hAnsi="Roboto"/>
          <w:sz w:val="16"/>
          <w:szCs w:val="16"/>
        </w:rPr>
        <w:footnoteRef/>
      </w:r>
      <w:r w:rsidRPr="00170AE7">
        <w:rPr>
          <w:rFonts w:ascii="Roboto" w:hAnsi="Roboto"/>
          <w:sz w:val="16"/>
          <w:szCs w:val="16"/>
        </w:rPr>
        <w:t xml:space="preserve"> </w:t>
      </w:r>
      <w:r w:rsidRPr="00170AE7">
        <w:rPr>
          <w:rFonts w:ascii="Roboto" w:hAnsi="Roboto" w:cs="Times New Roman"/>
          <w:sz w:val="16"/>
          <w:szCs w:val="16"/>
        </w:rPr>
        <w:t>Norton, Philip. "Parliaments in Democratic Governance." The Journal of Legislative Studies, vol. 10, no. 1, 2004, pp. 1-13.</w:t>
      </w:r>
    </w:p>
  </w:footnote>
  <w:footnote w:id="2">
    <w:p w14:paraId="7D93EDA0" w14:textId="6062F7D9" w:rsidR="0006548D" w:rsidRDefault="0006548D">
      <w:pPr>
        <w:pStyle w:val="FootnoteText"/>
      </w:pPr>
      <w:r>
        <w:rPr>
          <w:rStyle w:val="FootnoteReference"/>
        </w:rPr>
        <w:footnoteRef/>
      </w:r>
      <w:r>
        <w:t xml:space="preserve"> </w:t>
      </w:r>
      <w:proofErr w:type="spellStart"/>
      <w:r w:rsidR="009710D2" w:rsidRPr="00AE6361">
        <w:rPr>
          <w:rFonts w:ascii="Roboto" w:hAnsi="Roboto"/>
          <w:sz w:val="16"/>
          <w:szCs w:val="16"/>
        </w:rPr>
        <w:t>Sawer</w:t>
      </w:r>
      <w:proofErr w:type="spellEnd"/>
      <w:r w:rsidR="009710D2" w:rsidRPr="00AE6361">
        <w:rPr>
          <w:rFonts w:ascii="Roboto" w:hAnsi="Roboto"/>
          <w:sz w:val="16"/>
          <w:szCs w:val="16"/>
        </w:rPr>
        <w:t xml:space="preserve">, Marian, and </w:t>
      </w:r>
      <w:proofErr w:type="spellStart"/>
      <w:r w:rsidR="009710D2" w:rsidRPr="00AE6361">
        <w:rPr>
          <w:rFonts w:ascii="Roboto" w:hAnsi="Roboto"/>
          <w:sz w:val="16"/>
          <w:szCs w:val="16"/>
        </w:rPr>
        <w:t>Maley</w:t>
      </w:r>
      <w:proofErr w:type="spellEnd"/>
      <w:r w:rsidR="009710D2" w:rsidRPr="00AE6361">
        <w:rPr>
          <w:rFonts w:ascii="Roboto" w:hAnsi="Roboto"/>
          <w:sz w:val="16"/>
          <w:szCs w:val="16"/>
        </w:rPr>
        <w:t xml:space="preserve">, Maria, </w:t>
      </w:r>
      <w:r w:rsidR="009710D2" w:rsidRPr="0052355A">
        <w:rPr>
          <w:rFonts w:ascii="Roboto" w:hAnsi="Roboto"/>
          <w:i/>
          <w:iCs/>
          <w:sz w:val="16"/>
          <w:szCs w:val="16"/>
        </w:rPr>
        <w:t>Toxic Parliaments and What Can Be Done About Them</w:t>
      </w:r>
      <w:r w:rsidR="009710D2" w:rsidRPr="00AE6361">
        <w:rPr>
          <w:rFonts w:ascii="Roboto" w:hAnsi="Roboto"/>
          <w:sz w:val="16"/>
          <w:szCs w:val="16"/>
        </w:rPr>
        <w:t>, Palgrave Macmillan, 2024</w:t>
      </w:r>
      <w:r w:rsidR="00227A80">
        <w:rPr>
          <w:rFonts w:ascii="Roboto" w:hAnsi="Roboto"/>
          <w:sz w:val="16"/>
          <w:szCs w:val="16"/>
        </w:rPr>
        <w:t>, pp.5-6</w:t>
      </w:r>
      <w:r w:rsidR="0052355A">
        <w:rPr>
          <w:rFonts w:ascii="Roboto" w:hAnsi="Roboto"/>
          <w:sz w:val="16"/>
          <w:szCs w:val="16"/>
        </w:rPr>
        <w:t>.</w:t>
      </w:r>
    </w:p>
  </w:footnote>
  <w:footnote w:id="3">
    <w:p w14:paraId="71A99095" w14:textId="77777777" w:rsidR="00D96380" w:rsidRPr="00C376EF" w:rsidRDefault="00D96380" w:rsidP="00D96380">
      <w:pPr>
        <w:rPr>
          <w:rFonts w:ascii="Roboto" w:hAnsi="Roboto" w:cs="Times New Roman"/>
          <w:sz w:val="16"/>
          <w:szCs w:val="16"/>
        </w:rPr>
      </w:pPr>
      <w:r w:rsidRPr="00C376EF">
        <w:rPr>
          <w:rStyle w:val="FootnoteReference"/>
          <w:rFonts w:ascii="Roboto" w:hAnsi="Roboto"/>
          <w:sz w:val="16"/>
          <w:szCs w:val="16"/>
        </w:rPr>
        <w:footnoteRef/>
      </w:r>
      <w:r w:rsidRPr="00C376EF">
        <w:rPr>
          <w:rFonts w:ascii="Roboto" w:hAnsi="Roboto"/>
          <w:sz w:val="16"/>
          <w:szCs w:val="16"/>
        </w:rPr>
        <w:t xml:space="preserve"> </w:t>
      </w:r>
      <w:proofErr w:type="spellStart"/>
      <w:r w:rsidRPr="00C376EF">
        <w:rPr>
          <w:rFonts w:ascii="Roboto" w:hAnsi="Roboto" w:cs="Times New Roman"/>
          <w:sz w:val="16"/>
          <w:szCs w:val="16"/>
        </w:rPr>
        <w:t>Treviño</w:t>
      </w:r>
      <w:proofErr w:type="spellEnd"/>
      <w:r w:rsidRPr="00C376EF">
        <w:rPr>
          <w:rFonts w:ascii="Roboto" w:hAnsi="Roboto" w:cs="Times New Roman"/>
          <w:sz w:val="16"/>
          <w:szCs w:val="16"/>
        </w:rPr>
        <w:t>, Linda K., et al. "Managing Ethics and Legal Compliance: What Works and What Hurts." California Management Review, vol. 41, no. 2, 1999, pp. 131-151.</w:t>
      </w:r>
    </w:p>
  </w:footnote>
  <w:footnote w:id="4">
    <w:p w14:paraId="111C8D1B" w14:textId="77777777" w:rsidR="00D96380" w:rsidRPr="00C376EF" w:rsidRDefault="00D96380" w:rsidP="00D96380">
      <w:pPr>
        <w:rPr>
          <w:rFonts w:ascii="Roboto" w:hAnsi="Roboto" w:cs="Times New Roman"/>
          <w:sz w:val="16"/>
          <w:szCs w:val="16"/>
        </w:rPr>
      </w:pPr>
      <w:r w:rsidRPr="00C376EF">
        <w:rPr>
          <w:rStyle w:val="FootnoteReference"/>
          <w:rFonts w:ascii="Roboto" w:hAnsi="Roboto"/>
          <w:sz w:val="16"/>
          <w:szCs w:val="16"/>
        </w:rPr>
        <w:footnoteRef/>
      </w:r>
      <w:r w:rsidRPr="00C376EF">
        <w:rPr>
          <w:rFonts w:ascii="Roboto" w:hAnsi="Roboto"/>
          <w:sz w:val="16"/>
          <w:szCs w:val="16"/>
        </w:rPr>
        <w:t xml:space="preserve"> </w:t>
      </w:r>
      <w:r w:rsidRPr="00C376EF">
        <w:rPr>
          <w:rFonts w:ascii="Roboto" w:hAnsi="Roboto" w:cs="Times New Roman"/>
          <w:sz w:val="16"/>
          <w:szCs w:val="16"/>
        </w:rPr>
        <w:t>Weaver, Gary R., et al. "Corporate Ethics Practices in Mid-Sized Companies: An Empirical Investigation." Journal of Business Ethics, vol. 31, no. 3, 2001, pp. 197-210.</w:t>
      </w:r>
    </w:p>
  </w:footnote>
  <w:footnote w:id="5">
    <w:p w14:paraId="6A0B244B" w14:textId="5933924A" w:rsidR="00D96380" w:rsidRPr="00170AE7" w:rsidRDefault="00D96380" w:rsidP="00D96380">
      <w:pPr>
        <w:rPr>
          <w:rFonts w:ascii="Roboto" w:hAnsi="Roboto" w:cs="Times New Roman"/>
          <w:sz w:val="16"/>
          <w:szCs w:val="16"/>
        </w:rPr>
      </w:pPr>
      <w:r w:rsidRPr="00170AE7">
        <w:rPr>
          <w:rStyle w:val="FootnoteReference"/>
          <w:rFonts w:ascii="Roboto" w:hAnsi="Roboto"/>
          <w:sz w:val="16"/>
          <w:szCs w:val="16"/>
        </w:rPr>
        <w:footnoteRef/>
      </w:r>
      <w:r w:rsidRPr="00170AE7">
        <w:rPr>
          <w:rFonts w:ascii="Roboto" w:hAnsi="Roboto"/>
          <w:sz w:val="16"/>
          <w:szCs w:val="16"/>
        </w:rPr>
        <w:t xml:space="preserve"> </w:t>
      </w:r>
      <w:r w:rsidRPr="00170AE7">
        <w:rPr>
          <w:rFonts w:ascii="Roboto" w:hAnsi="Roboto" w:cs="Times New Roman"/>
          <w:sz w:val="16"/>
          <w:szCs w:val="16"/>
        </w:rPr>
        <w:t>Coghill, Ken, et al. "Staff Employment Arrangements in Australian Parliaments: Problems and Proposals for Reform." Australasian Parliamentary Review vol. 21, no. 2, 2006, pp. 131-146.</w:t>
      </w:r>
    </w:p>
  </w:footnote>
  <w:footnote w:id="6">
    <w:p w14:paraId="487C2EE8" w14:textId="77777777" w:rsidR="00D96380" w:rsidRPr="00170AE7" w:rsidRDefault="00D96380" w:rsidP="00D96380">
      <w:pPr>
        <w:rPr>
          <w:rFonts w:ascii="Roboto" w:hAnsi="Roboto" w:cs="Times New Roman"/>
          <w:sz w:val="16"/>
          <w:szCs w:val="16"/>
        </w:rPr>
      </w:pPr>
      <w:r w:rsidRPr="00170AE7">
        <w:rPr>
          <w:rStyle w:val="FootnoteReference"/>
          <w:rFonts w:ascii="Roboto" w:hAnsi="Roboto"/>
          <w:sz w:val="16"/>
          <w:szCs w:val="16"/>
        </w:rPr>
        <w:footnoteRef/>
      </w:r>
      <w:r w:rsidRPr="00170AE7">
        <w:rPr>
          <w:rFonts w:ascii="Roboto" w:hAnsi="Roboto"/>
          <w:sz w:val="16"/>
          <w:szCs w:val="16"/>
        </w:rPr>
        <w:t xml:space="preserve"> </w:t>
      </w:r>
      <w:r w:rsidRPr="00170AE7">
        <w:rPr>
          <w:rFonts w:ascii="Roboto" w:hAnsi="Roboto" w:cs="Times New Roman"/>
          <w:sz w:val="16"/>
          <w:szCs w:val="16"/>
        </w:rPr>
        <w:t xml:space="preserve">Russell, Meg. "The Dynamics of Parliamentary </w:t>
      </w:r>
      <w:proofErr w:type="spellStart"/>
      <w:r w:rsidRPr="00170AE7">
        <w:rPr>
          <w:rFonts w:ascii="Roboto" w:hAnsi="Roboto" w:cs="Times New Roman"/>
          <w:sz w:val="16"/>
          <w:szCs w:val="16"/>
        </w:rPr>
        <w:t>Adversarialism</w:t>
      </w:r>
      <w:proofErr w:type="spellEnd"/>
      <w:r w:rsidRPr="00170AE7">
        <w:rPr>
          <w:rFonts w:ascii="Roboto" w:hAnsi="Roboto" w:cs="Times New Roman"/>
          <w:sz w:val="16"/>
          <w:szCs w:val="16"/>
        </w:rPr>
        <w:t>: The Challenges of Reform." Parliamentary Affairs, vol. 66, no. 4, 2013, pp. 705-719.</w:t>
      </w:r>
    </w:p>
  </w:footnote>
  <w:footnote w:id="7">
    <w:p w14:paraId="2B59E7D6" w14:textId="77777777" w:rsidR="00C31863" w:rsidRPr="0090276A" w:rsidRDefault="00C31863" w:rsidP="00C31863">
      <w:pPr>
        <w:rPr>
          <w:rFonts w:ascii="Roboto" w:hAnsi="Roboto" w:cs="Times New Roman"/>
          <w:i/>
          <w:iCs/>
          <w:sz w:val="16"/>
          <w:szCs w:val="16"/>
        </w:rPr>
      </w:pPr>
      <w:r w:rsidRPr="0090276A">
        <w:rPr>
          <w:rStyle w:val="FootnoteReference"/>
          <w:rFonts w:ascii="Roboto" w:hAnsi="Roboto"/>
          <w:sz w:val="16"/>
          <w:szCs w:val="16"/>
        </w:rPr>
        <w:footnoteRef/>
      </w:r>
      <w:r w:rsidRPr="0090276A">
        <w:rPr>
          <w:rFonts w:ascii="Roboto" w:hAnsi="Roboto"/>
          <w:sz w:val="16"/>
          <w:szCs w:val="16"/>
        </w:rPr>
        <w:t xml:space="preserve"> </w:t>
      </w:r>
      <w:proofErr w:type="spellStart"/>
      <w:r w:rsidRPr="0090276A">
        <w:rPr>
          <w:rFonts w:ascii="Roboto" w:hAnsi="Roboto" w:cs="Times New Roman"/>
          <w:i/>
          <w:iCs/>
          <w:sz w:val="16"/>
          <w:szCs w:val="16"/>
        </w:rPr>
        <w:t>Maley</w:t>
      </w:r>
      <w:proofErr w:type="spellEnd"/>
      <w:r w:rsidRPr="0090276A">
        <w:rPr>
          <w:rFonts w:ascii="Roboto" w:hAnsi="Roboto" w:cs="Times New Roman"/>
          <w:i/>
          <w:iCs/>
          <w:sz w:val="16"/>
          <w:szCs w:val="16"/>
        </w:rPr>
        <w:t>, M. (2024). Democratic Accountability and Parliamentary Conduct: The Role of Elections. Australian Parliamentary Review, 39(1), 45-60.</w:t>
      </w:r>
    </w:p>
  </w:footnote>
  <w:footnote w:id="8">
    <w:p w14:paraId="282BB8A4" w14:textId="24C68710" w:rsidR="00A257CA" w:rsidRDefault="00A257CA">
      <w:pPr>
        <w:pStyle w:val="FootnoteText"/>
      </w:pPr>
      <w:r>
        <w:rPr>
          <w:rStyle w:val="FootnoteReference"/>
        </w:rPr>
        <w:footnoteRef/>
      </w:r>
      <w:r>
        <w:t xml:space="preserve"> </w:t>
      </w:r>
      <w:r w:rsidRPr="006D5F45">
        <w:rPr>
          <w:rFonts w:ascii="Roboto" w:hAnsi="Roboto"/>
          <w:sz w:val="16"/>
          <w:szCs w:val="16"/>
        </w:rPr>
        <w:t xml:space="preserve">Blunt, D. (2024). </w:t>
      </w:r>
      <w:r w:rsidRPr="006D5F45">
        <w:rPr>
          <w:rFonts w:ascii="Roboto" w:hAnsi="Roboto"/>
          <w:i/>
          <w:iCs/>
          <w:sz w:val="16"/>
          <w:szCs w:val="16"/>
        </w:rPr>
        <w:t xml:space="preserve">Creating a modern parliamentary workplace: a personal reflection on the NSW experience, </w:t>
      </w:r>
      <w:r w:rsidRPr="006D5F45">
        <w:rPr>
          <w:rFonts w:ascii="Roboto" w:hAnsi="Roboto"/>
          <w:sz w:val="16"/>
          <w:szCs w:val="16"/>
        </w:rPr>
        <w:t>p.</w:t>
      </w:r>
      <w:r>
        <w:rPr>
          <w:rFonts w:ascii="Roboto" w:hAnsi="Roboto"/>
          <w:sz w:val="16"/>
          <w:szCs w:val="16"/>
        </w:rPr>
        <w:t>10</w:t>
      </w:r>
    </w:p>
  </w:footnote>
  <w:footnote w:id="9">
    <w:p w14:paraId="7692B791" w14:textId="77777777" w:rsidR="00D96380" w:rsidRPr="00AA3DE3" w:rsidRDefault="00D96380" w:rsidP="00D96380">
      <w:pPr>
        <w:rPr>
          <w:rFonts w:ascii="Roboto" w:hAnsi="Roboto" w:cs="Times New Roman"/>
          <w:sz w:val="16"/>
          <w:szCs w:val="16"/>
        </w:rPr>
      </w:pPr>
      <w:r w:rsidRPr="00170AE7">
        <w:rPr>
          <w:rStyle w:val="FootnoteReference"/>
          <w:rFonts w:ascii="Roboto" w:hAnsi="Roboto"/>
          <w:sz w:val="16"/>
          <w:szCs w:val="16"/>
        </w:rPr>
        <w:footnoteRef/>
      </w:r>
      <w:r w:rsidRPr="00170AE7">
        <w:rPr>
          <w:rFonts w:ascii="Roboto" w:hAnsi="Roboto"/>
          <w:sz w:val="16"/>
          <w:szCs w:val="16"/>
        </w:rPr>
        <w:t xml:space="preserve"> </w:t>
      </w:r>
      <w:proofErr w:type="spellStart"/>
      <w:r w:rsidRPr="00AA3DE3">
        <w:rPr>
          <w:rFonts w:ascii="Roboto" w:hAnsi="Roboto" w:cs="Times New Roman"/>
          <w:sz w:val="16"/>
          <w:szCs w:val="16"/>
        </w:rPr>
        <w:t>Maley</w:t>
      </w:r>
      <w:proofErr w:type="spellEnd"/>
      <w:r w:rsidRPr="00AA3DE3">
        <w:rPr>
          <w:rFonts w:ascii="Roboto" w:hAnsi="Roboto" w:cs="Times New Roman"/>
          <w:sz w:val="16"/>
          <w:szCs w:val="16"/>
        </w:rPr>
        <w:t>, Maria. "The Employment Relationship in Parliamentary Offices: Power Imbalance and the Need for Reform." Australian Journal of Political Science, vol. 59, no. 1, 2024, pp. 85-102.</w:t>
      </w:r>
    </w:p>
  </w:footnote>
  <w:footnote w:id="10">
    <w:p w14:paraId="3E4CCB2C" w14:textId="0054A5B6" w:rsidR="009710D2" w:rsidRPr="008B0B65" w:rsidRDefault="009710D2">
      <w:pPr>
        <w:pStyle w:val="FootnoteText"/>
        <w:rPr>
          <w:rFonts w:ascii="Roboto" w:hAnsi="Roboto"/>
          <w:sz w:val="16"/>
          <w:szCs w:val="16"/>
        </w:rPr>
      </w:pPr>
      <w:r w:rsidRPr="008B0B65">
        <w:rPr>
          <w:rStyle w:val="FootnoteReference"/>
          <w:rFonts w:ascii="Roboto" w:hAnsi="Roboto"/>
          <w:sz w:val="16"/>
          <w:szCs w:val="16"/>
        </w:rPr>
        <w:footnoteRef/>
      </w:r>
      <w:r w:rsidRPr="008B0B65">
        <w:rPr>
          <w:rFonts w:ascii="Roboto" w:hAnsi="Roboto"/>
          <w:sz w:val="16"/>
          <w:szCs w:val="16"/>
        </w:rPr>
        <w:t xml:space="preserve"> </w:t>
      </w:r>
      <w:proofErr w:type="spellStart"/>
      <w:r w:rsidRPr="008B0B65">
        <w:rPr>
          <w:rFonts w:ascii="Roboto" w:hAnsi="Roboto"/>
          <w:sz w:val="16"/>
          <w:szCs w:val="16"/>
        </w:rPr>
        <w:t>Sawer</w:t>
      </w:r>
      <w:proofErr w:type="spellEnd"/>
      <w:r w:rsidRPr="008B0B65">
        <w:rPr>
          <w:rFonts w:ascii="Roboto" w:hAnsi="Roboto"/>
          <w:sz w:val="16"/>
          <w:szCs w:val="16"/>
        </w:rPr>
        <w:t xml:space="preserve">, Marian, and </w:t>
      </w:r>
      <w:proofErr w:type="spellStart"/>
      <w:r w:rsidRPr="008B0B65">
        <w:rPr>
          <w:rFonts w:ascii="Roboto" w:hAnsi="Roboto"/>
          <w:sz w:val="16"/>
          <w:szCs w:val="16"/>
        </w:rPr>
        <w:t>Maley</w:t>
      </w:r>
      <w:proofErr w:type="spellEnd"/>
      <w:r w:rsidRPr="008B0B65">
        <w:rPr>
          <w:rFonts w:ascii="Roboto" w:hAnsi="Roboto"/>
          <w:sz w:val="16"/>
          <w:szCs w:val="16"/>
        </w:rPr>
        <w:t xml:space="preserve">, Maria, </w:t>
      </w:r>
      <w:r w:rsidRPr="00B967CC">
        <w:rPr>
          <w:rFonts w:ascii="Roboto" w:hAnsi="Roboto"/>
          <w:i/>
          <w:iCs/>
          <w:sz w:val="16"/>
          <w:szCs w:val="16"/>
        </w:rPr>
        <w:t>Toxic Parliaments and What Can Be Done About Them</w:t>
      </w:r>
      <w:r w:rsidRPr="008B0B65">
        <w:rPr>
          <w:rFonts w:ascii="Roboto" w:hAnsi="Roboto"/>
          <w:sz w:val="16"/>
          <w:szCs w:val="16"/>
        </w:rPr>
        <w:t>, Palgrave Macmillan, 2024.</w:t>
      </w:r>
    </w:p>
  </w:footnote>
  <w:footnote w:id="11">
    <w:p w14:paraId="40CCFFAC" w14:textId="24121577" w:rsidR="00D56496" w:rsidRPr="008B0B65" w:rsidRDefault="00D56496">
      <w:pPr>
        <w:pStyle w:val="FootnoteText"/>
        <w:rPr>
          <w:rFonts w:ascii="Roboto" w:hAnsi="Roboto"/>
          <w:sz w:val="16"/>
          <w:szCs w:val="16"/>
        </w:rPr>
      </w:pPr>
      <w:r w:rsidRPr="008B0B65">
        <w:rPr>
          <w:rStyle w:val="FootnoteReference"/>
          <w:rFonts w:ascii="Roboto" w:hAnsi="Roboto"/>
          <w:sz w:val="16"/>
          <w:szCs w:val="16"/>
        </w:rPr>
        <w:footnoteRef/>
      </w:r>
      <w:r w:rsidRPr="008B0B65">
        <w:rPr>
          <w:rFonts w:ascii="Roboto" w:hAnsi="Roboto"/>
          <w:sz w:val="16"/>
          <w:szCs w:val="16"/>
        </w:rPr>
        <w:t xml:space="preserve"> Ibid.</w:t>
      </w:r>
    </w:p>
  </w:footnote>
  <w:footnote w:id="12">
    <w:p w14:paraId="19789762" w14:textId="23B08A18" w:rsidR="00D56496" w:rsidRPr="008B0B65" w:rsidRDefault="00D56496">
      <w:pPr>
        <w:pStyle w:val="FootnoteText"/>
        <w:rPr>
          <w:rFonts w:ascii="Roboto" w:hAnsi="Roboto"/>
          <w:sz w:val="16"/>
          <w:szCs w:val="16"/>
        </w:rPr>
      </w:pPr>
      <w:r w:rsidRPr="008B0B65">
        <w:rPr>
          <w:rStyle w:val="FootnoteReference"/>
          <w:rFonts w:ascii="Roboto" w:hAnsi="Roboto"/>
          <w:sz w:val="16"/>
          <w:szCs w:val="16"/>
        </w:rPr>
        <w:footnoteRef/>
      </w:r>
      <w:r w:rsidRPr="008B0B65">
        <w:rPr>
          <w:rFonts w:ascii="Roboto" w:hAnsi="Roboto"/>
          <w:sz w:val="16"/>
          <w:szCs w:val="16"/>
        </w:rPr>
        <w:t xml:space="preserve"> Reynolds, Henry. </w:t>
      </w:r>
      <w:r w:rsidRPr="008B0B65">
        <w:rPr>
          <w:rStyle w:val="Emphasis"/>
          <w:rFonts w:ascii="Roboto" w:hAnsi="Roboto"/>
          <w:sz w:val="16"/>
          <w:szCs w:val="16"/>
        </w:rPr>
        <w:t>The Law of the Land</w:t>
      </w:r>
      <w:r w:rsidRPr="008B0B65">
        <w:rPr>
          <w:rFonts w:ascii="Roboto" w:hAnsi="Roboto"/>
          <w:sz w:val="16"/>
          <w:szCs w:val="16"/>
        </w:rPr>
        <w:t>. Penguin Books Australia, 1987</w:t>
      </w:r>
    </w:p>
  </w:footnote>
  <w:footnote w:id="13">
    <w:p w14:paraId="6FCD6A23" w14:textId="77777777" w:rsidR="00D56496" w:rsidRPr="008B0B65" w:rsidRDefault="00D56496" w:rsidP="00D56496">
      <w:pPr>
        <w:pStyle w:val="FootnoteText"/>
        <w:rPr>
          <w:rFonts w:ascii="Roboto" w:hAnsi="Roboto"/>
          <w:sz w:val="16"/>
          <w:szCs w:val="16"/>
        </w:rPr>
      </w:pPr>
      <w:r w:rsidRPr="008B0B65">
        <w:rPr>
          <w:rStyle w:val="FootnoteReference"/>
          <w:rFonts w:ascii="Roboto" w:hAnsi="Roboto"/>
          <w:sz w:val="16"/>
          <w:szCs w:val="16"/>
        </w:rPr>
        <w:footnoteRef/>
      </w:r>
      <w:r w:rsidRPr="008B0B65">
        <w:rPr>
          <w:rFonts w:ascii="Roboto" w:hAnsi="Roboto"/>
          <w:sz w:val="16"/>
          <w:szCs w:val="16"/>
        </w:rPr>
        <w:t xml:space="preserve"> </w:t>
      </w:r>
      <w:proofErr w:type="spellStart"/>
      <w:r w:rsidRPr="008B0B65">
        <w:rPr>
          <w:rFonts w:ascii="Roboto" w:hAnsi="Roboto"/>
          <w:sz w:val="16"/>
          <w:szCs w:val="16"/>
        </w:rPr>
        <w:t>Croome</w:t>
      </w:r>
      <w:proofErr w:type="spellEnd"/>
      <w:r w:rsidRPr="008B0B65">
        <w:rPr>
          <w:rFonts w:ascii="Roboto" w:hAnsi="Roboto"/>
          <w:sz w:val="16"/>
          <w:szCs w:val="16"/>
        </w:rPr>
        <w:t xml:space="preserve">, Rodney. "The Slow Road to Equality: LGBTIQ+ Rights and Law Reform in Australia." </w:t>
      </w:r>
      <w:r w:rsidRPr="008B0B65">
        <w:rPr>
          <w:rStyle w:val="Emphasis"/>
          <w:rFonts w:ascii="Roboto" w:hAnsi="Roboto"/>
          <w:sz w:val="16"/>
          <w:szCs w:val="16"/>
        </w:rPr>
        <w:t>Australian Law Journal</w:t>
      </w:r>
      <w:r w:rsidRPr="008B0B65">
        <w:rPr>
          <w:rFonts w:ascii="Roboto" w:hAnsi="Roboto"/>
          <w:sz w:val="16"/>
          <w:szCs w:val="16"/>
        </w:rPr>
        <w:t>, 2017</w:t>
      </w:r>
    </w:p>
  </w:footnote>
  <w:footnote w:id="14">
    <w:p w14:paraId="366DA7D1" w14:textId="77777777" w:rsidR="00D56496" w:rsidRPr="008B0B65" w:rsidRDefault="00D56496" w:rsidP="00D56496">
      <w:pPr>
        <w:pStyle w:val="FootnoteText"/>
        <w:rPr>
          <w:rFonts w:ascii="Roboto" w:hAnsi="Roboto"/>
          <w:sz w:val="16"/>
          <w:szCs w:val="16"/>
        </w:rPr>
      </w:pPr>
      <w:r w:rsidRPr="008B0B65">
        <w:rPr>
          <w:rStyle w:val="FootnoteReference"/>
          <w:rFonts w:ascii="Roboto" w:hAnsi="Roboto"/>
          <w:sz w:val="16"/>
          <w:szCs w:val="16"/>
        </w:rPr>
        <w:footnoteRef/>
      </w:r>
      <w:r w:rsidRPr="008B0B65">
        <w:rPr>
          <w:rFonts w:ascii="Roboto" w:hAnsi="Roboto"/>
          <w:sz w:val="16"/>
          <w:szCs w:val="16"/>
        </w:rPr>
        <w:t xml:space="preserve"> </w:t>
      </w:r>
      <w:proofErr w:type="spellStart"/>
      <w:r w:rsidRPr="008B0B65">
        <w:rPr>
          <w:rFonts w:ascii="Roboto" w:hAnsi="Roboto"/>
          <w:sz w:val="16"/>
          <w:szCs w:val="16"/>
        </w:rPr>
        <w:t>Bickenbach</w:t>
      </w:r>
      <w:proofErr w:type="spellEnd"/>
      <w:r w:rsidRPr="008B0B65">
        <w:rPr>
          <w:rFonts w:ascii="Roboto" w:hAnsi="Roboto"/>
          <w:sz w:val="16"/>
          <w:szCs w:val="16"/>
        </w:rPr>
        <w:t xml:space="preserve">, Jerome E. </w:t>
      </w:r>
      <w:r w:rsidRPr="008B0B65">
        <w:rPr>
          <w:rStyle w:val="Emphasis"/>
          <w:rFonts w:ascii="Roboto" w:hAnsi="Roboto"/>
          <w:sz w:val="16"/>
          <w:szCs w:val="16"/>
        </w:rPr>
        <w:t>Disability and the Law: International Perspectives</w:t>
      </w:r>
      <w:r w:rsidRPr="008B0B65">
        <w:rPr>
          <w:rFonts w:ascii="Roboto" w:hAnsi="Roboto"/>
          <w:sz w:val="16"/>
          <w:szCs w:val="16"/>
        </w:rPr>
        <w:t>. Oxford University Press, 2007</w:t>
      </w:r>
    </w:p>
  </w:footnote>
  <w:footnote w:id="15">
    <w:p w14:paraId="1981AE9F" w14:textId="4C607136" w:rsidR="00C042D9" w:rsidRPr="00790261" w:rsidRDefault="00C042D9">
      <w:pPr>
        <w:pStyle w:val="FootnoteText"/>
        <w:rPr>
          <w:rFonts w:ascii="Roboto" w:hAnsi="Roboto"/>
          <w:sz w:val="16"/>
          <w:szCs w:val="16"/>
        </w:rPr>
      </w:pPr>
      <w:r w:rsidRPr="00790261">
        <w:rPr>
          <w:rStyle w:val="FootnoteReference"/>
          <w:rFonts w:ascii="Roboto" w:hAnsi="Roboto"/>
          <w:sz w:val="16"/>
          <w:szCs w:val="16"/>
        </w:rPr>
        <w:footnoteRef/>
      </w:r>
      <w:r w:rsidRPr="00790261">
        <w:rPr>
          <w:rFonts w:ascii="Roboto" w:hAnsi="Roboto"/>
          <w:sz w:val="16"/>
          <w:szCs w:val="16"/>
        </w:rPr>
        <w:t xml:space="preserve"> </w:t>
      </w:r>
      <w:proofErr w:type="spellStart"/>
      <w:r w:rsidR="00D56496" w:rsidRPr="00790261">
        <w:rPr>
          <w:rFonts w:ascii="Roboto" w:hAnsi="Roboto"/>
          <w:sz w:val="16"/>
          <w:szCs w:val="16"/>
        </w:rPr>
        <w:t>Jakubowicz</w:t>
      </w:r>
      <w:proofErr w:type="spellEnd"/>
      <w:r w:rsidR="00D56496" w:rsidRPr="00790261">
        <w:rPr>
          <w:rFonts w:ascii="Roboto" w:hAnsi="Roboto"/>
          <w:sz w:val="16"/>
          <w:szCs w:val="16"/>
        </w:rPr>
        <w:t xml:space="preserve">, Andrew. </w:t>
      </w:r>
      <w:r w:rsidR="00D56496" w:rsidRPr="00790261">
        <w:rPr>
          <w:rStyle w:val="Emphasis"/>
          <w:rFonts w:ascii="Roboto" w:hAnsi="Roboto"/>
          <w:sz w:val="16"/>
          <w:szCs w:val="16"/>
        </w:rPr>
        <w:t>Ethnic Minorities and the Australian State: Inclusion or Exclusion?</w:t>
      </w:r>
      <w:r w:rsidR="00D56496" w:rsidRPr="00790261">
        <w:rPr>
          <w:rFonts w:ascii="Roboto" w:hAnsi="Roboto"/>
          <w:sz w:val="16"/>
          <w:szCs w:val="16"/>
        </w:rPr>
        <w:t xml:space="preserve"> Routledge, 1997</w:t>
      </w:r>
    </w:p>
  </w:footnote>
  <w:footnote w:id="16">
    <w:p w14:paraId="10349DD5" w14:textId="41336486" w:rsidR="008B0B65" w:rsidRPr="008B0B65" w:rsidRDefault="008B0B65">
      <w:pPr>
        <w:pStyle w:val="FootnoteText"/>
        <w:rPr>
          <w:rFonts w:ascii="Roboto" w:hAnsi="Roboto"/>
          <w:sz w:val="16"/>
          <w:szCs w:val="16"/>
        </w:rPr>
      </w:pPr>
      <w:r w:rsidRPr="00790261">
        <w:rPr>
          <w:rStyle w:val="FootnoteReference"/>
          <w:rFonts w:ascii="Roboto" w:hAnsi="Roboto"/>
          <w:sz w:val="16"/>
          <w:szCs w:val="16"/>
        </w:rPr>
        <w:footnoteRef/>
      </w:r>
      <w:r w:rsidRPr="00790261">
        <w:rPr>
          <w:rFonts w:ascii="Roboto" w:hAnsi="Roboto"/>
          <w:sz w:val="16"/>
          <w:szCs w:val="16"/>
        </w:rPr>
        <w:t xml:space="preserve"> Note: The Parliamentary Executive Group </w:t>
      </w:r>
      <w:r w:rsidR="00E3400D" w:rsidRPr="00790261">
        <w:rPr>
          <w:rFonts w:ascii="Roboto" w:hAnsi="Roboto"/>
          <w:sz w:val="16"/>
          <w:szCs w:val="16"/>
        </w:rPr>
        <w:t xml:space="preserve">includes </w:t>
      </w:r>
      <w:r w:rsidR="00790261" w:rsidRPr="00790261">
        <w:rPr>
          <w:rFonts w:ascii="Roboto" w:hAnsi="Roboto"/>
          <w:sz w:val="16"/>
          <w:szCs w:val="16"/>
        </w:rPr>
        <w:t>the Presiding Officers (Speaker of the Legislative Assembly and President of the Legislative Council), the Clerks of the two Houses, and the CEO of the Department of Parliamentary Services.</w:t>
      </w:r>
    </w:p>
  </w:footnote>
  <w:footnote w:id="17">
    <w:p w14:paraId="391BF947" w14:textId="61B67AFD" w:rsidR="00077CBD" w:rsidRPr="008B0B65" w:rsidRDefault="00077CBD">
      <w:pPr>
        <w:pStyle w:val="FootnoteText"/>
        <w:rPr>
          <w:rFonts w:ascii="Roboto" w:hAnsi="Roboto"/>
          <w:sz w:val="16"/>
          <w:szCs w:val="16"/>
        </w:rPr>
      </w:pPr>
      <w:r w:rsidRPr="008B0B65">
        <w:rPr>
          <w:rStyle w:val="FootnoteReference"/>
          <w:rFonts w:ascii="Roboto" w:hAnsi="Roboto"/>
          <w:sz w:val="16"/>
          <w:szCs w:val="16"/>
        </w:rPr>
        <w:footnoteRef/>
      </w:r>
      <w:r w:rsidRPr="008B0B65">
        <w:rPr>
          <w:rFonts w:ascii="Roboto" w:hAnsi="Roboto"/>
          <w:sz w:val="16"/>
          <w:szCs w:val="16"/>
        </w:rPr>
        <w:t xml:space="preserve"> </w:t>
      </w:r>
      <w:r w:rsidR="008B0B65" w:rsidRPr="008B0B65">
        <w:rPr>
          <w:rFonts w:ascii="Roboto" w:hAnsi="Roboto"/>
          <w:sz w:val="16"/>
          <w:szCs w:val="16"/>
        </w:rPr>
        <w:t>Broderick, E. (2022).</w:t>
      </w:r>
      <w:r w:rsidR="008B0B65" w:rsidRPr="008D1849">
        <w:rPr>
          <w:rFonts w:ascii="Roboto" w:hAnsi="Roboto"/>
          <w:sz w:val="16"/>
          <w:szCs w:val="16"/>
        </w:rPr>
        <w:t xml:space="preserve"> "Review of the Workplace Culture in the NSW Parliament." Sydney, NSW: Elizabeth Broderick &amp; Co</w:t>
      </w:r>
    </w:p>
  </w:footnote>
  <w:footnote w:id="18">
    <w:p w14:paraId="6BC2BCF8" w14:textId="3EC7D99C" w:rsidR="00F73C12" w:rsidRPr="008B0B65" w:rsidRDefault="00F73C12">
      <w:pPr>
        <w:pStyle w:val="FootnoteText"/>
        <w:rPr>
          <w:rFonts w:ascii="Roboto" w:hAnsi="Roboto"/>
          <w:sz w:val="16"/>
          <w:szCs w:val="16"/>
        </w:rPr>
      </w:pPr>
      <w:r w:rsidRPr="008B0B65">
        <w:rPr>
          <w:rStyle w:val="FootnoteReference"/>
          <w:rFonts w:ascii="Roboto" w:hAnsi="Roboto"/>
          <w:sz w:val="16"/>
          <w:szCs w:val="16"/>
        </w:rPr>
        <w:footnoteRef/>
      </w:r>
      <w:r w:rsidRPr="008B0B65">
        <w:rPr>
          <w:rFonts w:ascii="Roboto" w:hAnsi="Roboto"/>
          <w:sz w:val="16"/>
          <w:szCs w:val="16"/>
        </w:rPr>
        <w:t xml:space="preserve"> </w:t>
      </w:r>
      <w:r w:rsidR="008D1849" w:rsidRPr="008B0B65">
        <w:rPr>
          <w:rFonts w:ascii="Roboto" w:hAnsi="Roboto"/>
          <w:sz w:val="16"/>
          <w:szCs w:val="16"/>
        </w:rPr>
        <w:t>Ibid</w:t>
      </w:r>
    </w:p>
  </w:footnote>
  <w:footnote w:id="19">
    <w:p w14:paraId="48D3DB3C" w14:textId="0BD8DF75" w:rsidR="00A47022" w:rsidRPr="008B0B65" w:rsidRDefault="00A47022">
      <w:pPr>
        <w:pStyle w:val="FootnoteText"/>
        <w:rPr>
          <w:rFonts w:ascii="Roboto" w:hAnsi="Roboto"/>
          <w:sz w:val="16"/>
          <w:szCs w:val="16"/>
        </w:rPr>
      </w:pPr>
      <w:r w:rsidRPr="008B0B65">
        <w:rPr>
          <w:rStyle w:val="FootnoteReference"/>
          <w:rFonts w:ascii="Roboto" w:hAnsi="Roboto"/>
          <w:sz w:val="16"/>
          <w:szCs w:val="16"/>
        </w:rPr>
        <w:footnoteRef/>
      </w:r>
      <w:r w:rsidRPr="008B0B65">
        <w:rPr>
          <w:rFonts w:ascii="Roboto" w:hAnsi="Roboto"/>
          <w:sz w:val="16"/>
          <w:szCs w:val="16"/>
        </w:rPr>
        <w:t xml:space="preserve"> </w:t>
      </w:r>
      <w:r w:rsidR="008B0B65" w:rsidRPr="008B0B65">
        <w:rPr>
          <w:rFonts w:ascii="Roboto" w:hAnsi="Roboto"/>
          <w:sz w:val="16"/>
          <w:szCs w:val="16"/>
        </w:rPr>
        <w:t xml:space="preserve">Broderick, E. (2022). "Review of the Workplace Culture in the NSW Parliament." Sydney, NSW: Elizabeth Broderick &amp; Co </w:t>
      </w:r>
      <w:r w:rsidRPr="008B0B65">
        <w:rPr>
          <w:rFonts w:ascii="Roboto" w:hAnsi="Roboto"/>
          <w:sz w:val="16"/>
          <w:szCs w:val="16"/>
        </w:rPr>
        <w:t>p.22</w:t>
      </w:r>
    </w:p>
  </w:footnote>
  <w:footnote w:id="20">
    <w:p w14:paraId="0535476B" w14:textId="77777777" w:rsidR="00B209B0" w:rsidRPr="008D1849" w:rsidRDefault="00B209B0" w:rsidP="00B209B0">
      <w:pPr>
        <w:pStyle w:val="FootnoteText"/>
        <w:rPr>
          <w:rFonts w:ascii="Roboto" w:hAnsi="Roboto"/>
          <w:sz w:val="16"/>
          <w:szCs w:val="16"/>
        </w:rPr>
      </w:pPr>
      <w:r w:rsidRPr="008B0B65">
        <w:rPr>
          <w:rStyle w:val="FootnoteReference"/>
          <w:rFonts w:ascii="Roboto" w:hAnsi="Roboto"/>
          <w:sz w:val="16"/>
          <w:szCs w:val="16"/>
        </w:rPr>
        <w:footnoteRef/>
      </w:r>
      <w:r w:rsidRPr="008B0B65">
        <w:rPr>
          <w:rFonts w:ascii="Roboto" w:hAnsi="Roboto"/>
          <w:sz w:val="16"/>
          <w:szCs w:val="16"/>
        </w:rPr>
        <w:t xml:space="preserve"> Broderick, E. (2022).</w:t>
      </w:r>
      <w:r w:rsidRPr="008D1849">
        <w:rPr>
          <w:rFonts w:ascii="Roboto" w:hAnsi="Roboto"/>
          <w:sz w:val="16"/>
          <w:szCs w:val="16"/>
        </w:rPr>
        <w:t xml:space="preserve"> "Review of the Workplace Culture in the NSW Parliament." Sydney, NSW: Elizabeth Broderick &amp; Co</w:t>
      </w:r>
    </w:p>
  </w:footnote>
  <w:footnote w:id="21">
    <w:p w14:paraId="0CD11925" w14:textId="77777777" w:rsidR="002D1FCF" w:rsidRPr="006D5F45" w:rsidRDefault="002D1FCF" w:rsidP="002D1FCF">
      <w:pPr>
        <w:pStyle w:val="FootnoteText"/>
        <w:rPr>
          <w:rFonts w:ascii="Roboto" w:hAnsi="Roboto"/>
          <w:sz w:val="16"/>
          <w:szCs w:val="16"/>
        </w:rPr>
      </w:pPr>
      <w:r w:rsidRPr="006D5F45">
        <w:rPr>
          <w:rStyle w:val="FootnoteReference"/>
          <w:rFonts w:ascii="Roboto" w:hAnsi="Roboto"/>
          <w:sz w:val="16"/>
          <w:szCs w:val="16"/>
        </w:rPr>
        <w:footnoteRef/>
      </w:r>
      <w:r w:rsidRPr="006D5F45">
        <w:rPr>
          <w:rFonts w:ascii="Roboto" w:hAnsi="Roboto"/>
          <w:sz w:val="16"/>
          <w:szCs w:val="16"/>
        </w:rPr>
        <w:t xml:space="preserve"> </w:t>
      </w:r>
      <w:proofErr w:type="spellStart"/>
      <w:r w:rsidRPr="006D5F45">
        <w:rPr>
          <w:rFonts w:ascii="Roboto" w:hAnsi="Roboto" w:cs="Times New Roman"/>
          <w:sz w:val="16"/>
          <w:szCs w:val="16"/>
        </w:rPr>
        <w:t>Maley</w:t>
      </w:r>
      <w:proofErr w:type="spellEnd"/>
      <w:r w:rsidRPr="006D5F45">
        <w:rPr>
          <w:rFonts w:ascii="Roboto" w:hAnsi="Roboto" w:cs="Times New Roman"/>
          <w:sz w:val="16"/>
          <w:szCs w:val="16"/>
        </w:rPr>
        <w:t>, M. (2024).</w:t>
      </w:r>
      <w:r w:rsidRPr="006D5F45">
        <w:rPr>
          <w:rFonts w:ascii="Roboto" w:hAnsi="Roboto" w:cs="Times New Roman"/>
          <w:i/>
          <w:iCs/>
          <w:sz w:val="16"/>
          <w:szCs w:val="16"/>
        </w:rPr>
        <w:t xml:space="preserve"> Democratic Accountability and Parliamentary Conduct: The Role of Elections. Australian Parliamentary Review, 39(1), 45-60.</w:t>
      </w:r>
    </w:p>
  </w:footnote>
  <w:footnote w:id="22">
    <w:p w14:paraId="4CBE690C" w14:textId="77777777" w:rsidR="002D1FCF" w:rsidRPr="006D5F45" w:rsidRDefault="002D1FCF" w:rsidP="002D1FCF">
      <w:pPr>
        <w:rPr>
          <w:rFonts w:ascii="Roboto" w:hAnsi="Roboto" w:cs="Times New Roman"/>
          <w:i/>
          <w:iCs/>
          <w:sz w:val="16"/>
          <w:szCs w:val="16"/>
        </w:rPr>
      </w:pPr>
      <w:r w:rsidRPr="006D5F45">
        <w:rPr>
          <w:rStyle w:val="FootnoteReference"/>
          <w:rFonts w:ascii="Roboto" w:hAnsi="Roboto"/>
          <w:sz w:val="16"/>
          <w:szCs w:val="16"/>
        </w:rPr>
        <w:footnoteRef/>
      </w:r>
      <w:r w:rsidRPr="006D5F45">
        <w:rPr>
          <w:rFonts w:ascii="Roboto" w:hAnsi="Roboto"/>
          <w:sz w:val="16"/>
          <w:szCs w:val="16"/>
        </w:rPr>
        <w:t xml:space="preserve"> </w:t>
      </w:r>
      <w:r w:rsidRPr="006D5F45">
        <w:rPr>
          <w:rFonts w:ascii="Roboto" w:hAnsi="Roboto" w:cs="Times New Roman"/>
          <w:sz w:val="16"/>
          <w:szCs w:val="16"/>
        </w:rPr>
        <w:t>Mackay, H. (2014).</w:t>
      </w:r>
      <w:r w:rsidRPr="006D5F45">
        <w:rPr>
          <w:rFonts w:ascii="Roboto" w:hAnsi="Roboto" w:cs="Times New Roman"/>
          <w:i/>
          <w:iCs/>
          <w:sz w:val="16"/>
          <w:szCs w:val="16"/>
        </w:rPr>
        <w:t xml:space="preserve"> The Art of Belonging: It’s Not Where You Live, It’s How You Live. </w:t>
      </w:r>
      <w:r w:rsidRPr="00713DB6">
        <w:rPr>
          <w:rFonts w:ascii="Roboto" w:hAnsi="Roboto" w:cs="Times New Roman"/>
          <w:sz w:val="16"/>
          <w:szCs w:val="16"/>
        </w:rPr>
        <w:t>Pan Macmillan Australia</w:t>
      </w:r>
      <w:r w:rsidRPr="006D5F45">
        <w:rPr>
          <w:rFonts w:ascii="Roboto" w:hAnsi="Roboto" w:cs="Times New Roman"/>
          <w:i/>
          <w:iCs/>
          <w:sz w:val="16"/>
          <w:szCs w:val="16"/>
        </w:rPr>
        <w:t>.</w:t>
      </w:r>
    </w:p>
  </w:footnote>
  <w:footnote w:id="23">
    <w:p w14:paraId="3FD0CB93" w14:textId="77777777" w:rsidR="002D1FCF" w:rsidRPr="006D5F45" w:rsidRDefault="002D1FCF" w:rsidP="002D1FCF">
      <w:pPr>
        <w:rPr>
          <w:rFonts w:ascii="Roboto" w:eastAsia="Calibri" w:hAnsi="Roboto" w:cs="Calibri"/>
          <w:sz w:val="16"/>
          <w:szCs w:val="16"/>
        </w:rPr>
      </w:pPr>
      <w:r w:rsidRPr="006D5F45">
        <w:rPr>
          <w:rStyle w:val="FootnoteReference"/>
          <w:rFonts w:ascii="Roboto" w:hAnsi="Roboto"/>
          <w:sz w:val="16"/>
          <w:szCs w:val="16"/>
        </w:rPr>
        <w:footnoteRef/>
      </w:r>
      <w:r w:rsidRPr="006D5F45">
        <w:rPr>
          <w:rFonts w:ascii="Roboto" w:hAnsi="Roboto" w:cs="Times New Roman"/>
          <w:sz w:val="16"/>
          <w:szCs w:val="16"/>
        </w:rPr>
        <w:t xml:space="preserve">Mahoney, J., &amp; </w:t>
      </w:r>
      <w:proofErr w:type="spellStart"/>
      <w:r w:rsidRPr="006D5F45">
        <w:rPr>
          <w:rFonts w:ascii="Roboto" w:hAnsi="Roboto" w:cs="Times New Roman"/>
          <w:sz w:val="16"/>
          <w:szCs w:val="16"/>
        </w:rPr>
        <w:t>Thelen</w:t>
      </w:r>
      <w:proofErr w:type="spellEnd"/>
      <w:r w:rsidRPr="006D5F45">
        <w:rPr>
          <w:rFonts w:ascii="Roboto" w:hAnsi="Roboto" w:cs="Times New Roman"/>
          <w:sz w:val="16"/>
          <w:szCs w:val="16"/>
        </w:rPr>
        <w:t>, K. (2010).</w:t>
      </w:r>
      <w:r w:rsidRPr="006D5F45">
        <w:rPr>
          <w:rFonts w:ascii="Roboto" w:hAnsi="Roboto" w:cs="Times New Roman"/>
          <w:i/>
          <w:iCs/>
          <w:sz w:val="16"/>
          <w:szCs w:val="16"/>
        </w:rPr>
        <w:t xml:space="preserve"> Explaining Institutional Change: Ambiguity, Agency, and Power. </w:t>
      </w:r>
      <w:r w:rsidRPr="00713DB6">
        <w:rPr>
          <w:rFonts w:ascii="Roboto" w:hAnsi="Roboto" w:cs="Times New Roman"/>
          <w:sz w:val="16"/>
          <w:szCs w:val="16"/>
        </w:rPr>
        <w:t>Cambridge University Press</w:t>
      </w:r>
      <w:r w:rsidRPr="006D5F45">
        <w:rPr>
          <w:rFonts w:ascii="Roboto" w:hAnsi="Roboto" w:cs="Times New Roman"/>
          <w:i/>
          <w:iCs/>
          <w:sz w:val="16"/>
          <w:szCs w:val="16"/>
        </w:rPr>
        <w:t>.</w:t>
      </w:r>
    </w:p>
  </w:footnote>
  <w:footnote w:id="24">
    <w:p w14:paraId="3BB8CB90" w14:textId="77777777" w:rsidR="00AA5B7B" w:rsidRPr="00321C31" w:rsidRDefault="00AA5B7B" w:rsidP="00AA5B7B">
      <w:pPr>
        <w:pStyle w:val="FootnoteText"/>
      </w:pPr>
      <w:r w:rsidRPr="006D5F45">
        <w:rPr>
          <w:rStyle w:val="FootnoteReference"/>
          <w:rFonts w:ascii="Roboto" w:hAnsi="Roboto"/>
          <w:sz w:val="16"/>
          <w:szCs w:val="16"/>
        </w:rPr>
        <w:footnoteRef/>
      </w:r>
      <w:r w:rsidRPr="006D5F45">
        <w:rPr>
          <w:rFonts w:ascii="Roboto" w:hAnsi="Roboto"/>
          <w:sz w:val="16"/>
          <w:szCs w:val="16"/>
        </w:rPr>
        <w:t xml:space="preserve"> Blunt, D. (2024). </w:t>
      </w:r>
      <w:r w:rsidRPr="006D5F45">
        <w:rPr>
          <w:rFonts w:ascii="Roboto" w:hAnsi="Roboto"/>
          <w:i/>
          <w:iCs/>
          <w:sz w:val="16"/>
          <w:szCs w:val="16"/>
        </w:rPr>
        <w:t xml:space="preserve">Creating a modern parliamentary workplace: a personal reflection on the NSW experience, </w:t>
      </w:r>
      <w:r w:rsidRPr="006D5F45">
        <w:rPr>
          <w:rFonts w:ascii="Roboto" w:hAnsi="Roboto"/>
          <w:sz w:val="16"/>
          <w:szCs w:val="16"/>
        </w:rPr>
        <w:t>p.2</w:t>
      </w:r>
    </w:p>
  </w:footnote>
  <w:footnote w:id="25">
    <w:p w14:paraId="2C4C7D58" w14:textId="6934B319" w:rsidR="0056539B" w:rsidRPr="00AC640B" w:rsidRDefault="0056539B" w:rsidP="0056539B">
      <w:pPr>
        <w:pStyle w:val="FootnoteText"/>
        <w:rPr>
          <w:rFonts w:ascii="Roboto" w:hAnsi="Roboto"/>
          <w:sz w:val="16"/>
          <w:szCs w:val="16"/>
        </w:rPr>
      </w:pPr>
      <w:r w:rsidRPr="00AC640B">
        <w:rPr>
          <w:rStyle w:val="FootnoteReference"/>
          <w:rFonts w:ascii="Roboto" w:hAnsi="Roboto"/>
          <w:sz w:val="16"/>
          <w:szCs w:val="16"/>
        </w:rPr>
        <w:footnoteRef/>
      </w:r>
      <w:r w:rsidRPr="00AC640B">
        <w:rPr>
          <w:rFonts w:ascii="Roboto" w:hAnsi="Roboto"/>
          <w:sz w:val="16"/>
          <w:szCs w:val="16"/>
        </w:rPr>
        <w:t xml:space="preserve"> </w:t>
      </w:r>
      <w:r w:rsidR="00970FD7" w:rsidRPr="00AC640B">
        <w:rPr>
          <w:rFonts w:ascii="Roboto" w:hAnsi="Roboto"/>
          <w:sz w:val="16"/>
          <w:szCs w:val="16"/>
        </w:rPr>
        <w:t xml:space="preserve">Blunt, D. (2024). </w:t>
      </w:r>
      <w:r w:rsidR="00970FD7" w:rsidRPr="00AC640B">
        <w:rPr>
          <w:rFonts w:ascii="Roboto" w:hAnsi="Roboto"/>
          <w:i/>
          <w:iCs/>
          <w:sz w:val="16"/>
          <w:szCs w:val="16"/>
        </w:rPr>
        <w:t xml:space="preserve">Creating a modern parliamentary workplace: a personal reflection on the NSW experience, </w:t>
      </w:r>
      <w:r w:rsidR="00970FD7" w:rsidRPr="00AC640B">
        <w:rPr>
          <w:rFonts w:ascii="Roboto" w:hAnsi="Roboto"/>
          <w:sz w:val="16"/>
          <w:szCs w:val="16"/>
        </w:rPr>
        <w:t>p.3</w:t>
      </w:r>
    </w:p>
  </w:footnote>
  <w:footnote w:id="26">
    <w:p w14:paraId="23A75575" w14:textId="2677BB5C" w:rsidR="00966D96" w:rsidRPr="00AC640B" w:rsidRDefault="00966D96">
      <w:pPr>
        <w:pStyle w:val="FootnoteText"/>
        <w:rPr>
          <w:rFonts w:ascii="Roboto" w:hAnsi="Roboto"/>
          <w:sz w:val="16"/>
          <w:szCs w:val="16"/>
        </w:rPr>
      </w:pPr>
      <w:r w:rsidRPr="00AC640B">
        <w:rPr>
          <w:rStyle w:val="FootnoteReference"/>
          <w:rFonts w:ascii="Roboto" w:hAnsi="Roboto"/>
          <w:sz w:val="16"/>
          <w:szCs w:val="16"/>
        </w:rPr>
        <w:footnoteRef/>
      </w:r>
      <w:r w:rsidRPr="00AC640B">
        <w:rPr>
          <w:rFonts w:ascii="Roboto" w:hAnsi="Roboto"/>
          <w:sz w:val="16"/>
          <w:szCs w:val="16"/>
        </w:rPr>
        <w:t xml:space="preserve"> </w:t>
      </w:r>
      <w:r w:rsidRPr="00AC640B">
        <w:rPr>
          <w:rStyle w:val="Strong"/>
          <w:rFonts w:ascii="Roboto" w:hAnsi="Roboto"/>
          <w:b w:val="0"/>
          <w:bCs w:val="0"/>
          <w:sz w:val="16"/>
          <w:szCs w:val="16"/>
        </w:rPr>
        <w:t>Clarke, T. (2017)</w:t>
      </w:r>
      <w:r w:rsidRPr="00AC640B">
        <w:rPr>
          <w:rFonts w:ascii="Roboto" w:hAnsi="Roboto"/>
          <w:b/>
          <w:bCs/>
          <w:sz w:val="16"/>
          <w:szCs w:val="16"/>
        </w:rPr>
        <w:t>.</w:t>
      </w:r>
      <w:r w:rsidRPr="00AC640B">
        <w:rPr>
          <w:rFonts w:ascii="Roboto" w:hAnsi="Roboto"/>
          <w:sz w:val="16"/>
          <w:szCs w:val="16"/>
        </w:rPr>
        <w:t xml:space="preserve"> </w:t>
      </w:r>
      <w:r w:rsidRPr="00AC640B">
        <w:rPr>
          <w:rStyle w:val="Emphasis"/>
          <w:rFonts w:ascii="Roboto" w:hAnsi="Roboto"/>
          <w:sz w:val="16"/>
          <w:szCs w:val="16"/>
        </w:rPr>
        <w:t>International Corporate Governance: A Comparative Approach</w:t>
      </w:r>
      <w:r w:rsidRPr="00AC640B">
        <w:rPr>
          <w:rFonts w:ascii="Roboto" w:hAnsi="Roboto"/>
          <w:sz w:val="16"/>
          <w:szCs w:val="16"/>
        </w:rPr>
        <w:t>. Routledge. This text highlights the historical focus on financial and legal risk in governance and the shift toward broader considerations, including social, environmental, and ethical governance factors.</w:t>
      </w:r>
    </w:p>
  </w:footnote>
  <w:footnote w:id="27">
    <w:p w14:paraId="1E7E8F4E" w14:textId="673D01A3" w:rsidR="00DB48D8" w:rsidRPr="001658BC" w:rsidRDefault="00DB48D8">
      <w:pPr>
        <w:pStyle w:val="FootnoteText"/>
        <w:rPr>
          <w:rFonts w:ascii="Roboto" w:hAnsi="Roboto"/>
          <w:sz w:val="16"/>
          <w:szCs w:val="16"/>
        </w:rPr>
      </w:pPr>
      <w:r w:rsidRPr="001658BC">
        <w:rPr>
          <w:rStyle w:val="FootnoteReference"/>
          <w:rFonts w:ascii="Roboto" w:hAnsi="Roboto"/>
          <w:sz w:val="16"/>
          <w:szCs w:val="16"/>
        </w:rPr>
        <w:footnoteRef/>
      </w:r>
      <w:r w:rsidRPr="001658BC">
        <w:rPr>
          <w:rFonts w:ascii="Roboto" w:hAnsi="Roboto"/>
          <w:sz w:val="16"/>
          <w:szCs w:val="16"/>
        </w:rPr>
        <w:t xml:space="preserve"> </w:t>
      </w:r>
      <w:r w:rsidR="00B83E29" w:rsidRPr="001658BC">
        <w:rPr>
          <w:rFonts w:ascii="Roboto" w:hAnsi="Roboto"/>
          <w:sz w:val="16"/>
          <w:szCs w:val="16"/>
        </w:rPr>
        <w:t>Coutts-Trotter, M</w:t>
      </w:r>
      <w:r w:rsidR="00480C9E" w:rsidRPr="001658BC">
        <w:rPr>
          <w:rFonts w:ascii="Roboto" w:hAnsi="Roboto"/>
          <w:sz w:val="16"/>
          <w:szCs w:val="16"/>
        </w:rPr>
        <w:t xml:space="preserve">, </w:t>
      </w:r>
      <w:r w:rsidR="00D75A6E" w:rsidRPr="001658BC">
        <w:rPr>
          <w:rFonts w:ascii="Roboto" w:hAnsi="Roboto"/>
          <w:i/>
          <w:iCs/>
          <w:sz w:val="16"/>
          <w:szCs w:val="16"/>
        </w:rPr>
        <w:t xml:space="preserve">Budget </w:t>
      </w:r>
      <w:r w:rsidR="00B8553F" w:rsidRPr="001658BC">
        <w:rPr>
          <w:rFonts w:ascii="Roboto" w:hAnsi="Roboto"/>
          <w:i/>
          <w:iCs/>
          <w:sz w:val="16"/>
          <w:szCs w:val="16"/>
        </w:rPr>
        <w:t>Presentation</w:t>
      </w:r>
      <w:r w:rsidR="00D75A6E" w:rsidRPr="001658BC">
        <w:rPr>
          <w:rFonts w:ascii="Roboto" w:hAnsi="Roboto"/>
          <w:sz w:val="16"/>
          <w:szCs w:val="16"/>
        </w:rPr>
        <w:t xml:space="preserve">, </w:t>
      </w:r>
      <w:r w:rsidR="00AC640B" w:rsidRPr="001658BC">
        <w:rPr>
          <w:rFonts w:ascii="Roboto" w:hAnsi="Roboto"/>
          <w:sz w:val="16"/>
          <w:szCs w:val="16"/>
        </w:rPr>
        <w:t>(</w:t>
      </w:r>
      <w:r w:rsidR="00E536A4" w:rsidRPr="001658BC">
        <w:rPr>
          <w:rFonts w:ascii="Roboto" w:hAnsi="Roboto"/>
          <w:sz w:val="16"/>
          <w:szCs w:val="16"/>
        </w:rPr>
        <w:t xml:space="preserve">14th Annual Budget Briefing, </w:t>
      </w:r>
      <w:r w:rsidR="005F2C33" w:rsidRPr="001658BC">
        <w:rPr>
          <w:rFonts w:ascii="Roboto" w:hAnsi="Roboto"/>
          <w:sz w:val="16"/>
          <w:szCs w:val="16"/>
        </w:rPr>
        <w:t xml:space="preserve">Institute of Public Administration Australia, NSW, </w:t>
      </w:r>
      <w:r w:rsidR="008B2923" w:rsidRPr="001658BC">
        <w:rPr>
          <w:rFonts w:ascii="Roboto" w:hAnsi="Roboto"/>
          <w:sz w:val="16"/>
          <w:szCs w:val="16"/>
        </w:rPr>
        <w:t>24 June 2024</w:t>
      </w:r>
      <w:r w:rsidR="00AC640B" w:rsidRPr="001658BC">
        <w:rPr>
          <w:rFonts w:ascii="Roboto" w:hAnsi="Roboto"/>
          <w:sz w:val="16"/>
          <w:szCs w:val="16"/>
        </w:rPr>
        <w:t>).</w:t>
      </w:r>
      <w:r w:rsidR="008B2923" w:rsidRPr="001658BC">
        <w:rPr>
          <w:rFonts w:ascii="Roboto" w:hAnsi="Roboto"/>
          <w:sz w:val="16"/>
          <w:szCs w:val="16"/>
        </w:rPr>
        <w:t xml:space="preserve"> </w:t>
      </w:r>
    </w:p>
  </w:footnote>
  <w:footnote w:id="28">
    <w:p w14:paraId="49CE8665" w14:textId="55DE6F8C" w:rsidR="001658BC" w:rsidRPr="001658BC" w:rsidRDefault="001658BC">
      <w:pPr>
        <w:pStyle w:val="FootnoteText"/>
        <w:rPr>
          <w:rFonts w:ascii="Roboto" w:hAnsi="Roboto"/>
          <w:sz w:val="16"/>
          <w:szCs w:val="16"/>
        </w:rPr>
      </w:pPr>
      <w:r w:rsidRPr="001658BC">
        <w:rPr>
          <w:rStyle w:val="FootnoteReference"/>
        </w:rPr>
        <w:footnoteRef/>
      </w:r>
      <w:r w:rsidRPr="001658BC">
        <w:rPr>
          <w:rFonts w:ascii="Roboto" w:hAnsi="Roboto"/>
          <w:sz w:val="16"/>
          <w:szCs w:val="16"/>
        </w:rPr>
        <w:t xml:space="preserve"> </w:t>
      </w:r>
      <w:r w:rsidRPr="001658BC">
        <w:rPr>
          <w:rFonts w:ascii="Roboto" w:hAnsi="Roboto"/>
          <w:i/>
          <w:iCs/>
          <w:sz w:val="16"/>
          <w:szCs w:val="16"/>
        </w:rPr>
        <w:t>The Work Health and Safety Act</w:t>
      </w:r>
      <w:r w:rsidRPr="001658BC">
        <w:rPr>
          <w:rFonts w:ascii="Roboto" w:hAnsi="Roboto"/>
          <w:sz w:val="16"/>
          <w:szCs w:val="16"/>
        </w:rPr>
        <w:t xml:space="preserve"> </w:t>
      </w:r>
      <w:r>
        <w:rPr>
          <w:rFonts w:ascii="Roboto" w:hAnsi="Roboto"/>
          <w:sz w:val="16"/>
          <w:szCs w:val="16"/>
        </w:rPr>
        <w:t>NSW (</w:t>
      </w:r>
      <w:r w:rsidRPr="001658BC">
        <w:rPr>
          <w:rFonts w:ascii="Roboto" w:hAnsi="Roboto"/>
          <w:sz w:val="16"/>
          <w:szCs w:val="16"/>
        </w:rPr>
        <w:t>2011</w:t>
      </w:r>
      <w:r>
        <w:rPr>
          <w:rFonts w:ascii="Roboto" w:hAnsi="Roboto"/>
          <w:sz w:val="16"/>
          <w:szCs w:val="16"/>
        </w:rPr>
        <w:t>)</w:t>
      </w:r>
    </w:p>
  </w:footnote>
  <w:footnote w:id="29">
    <w:p w14:paraId="4D236820" w14:textId="0C9AB10A" w:rsidR="003C2711" w:rsidRPr="00D40314" w:rsidRDefault="003C2711">
      <w:pPr>
        <w:pStyle w:val="FootnoteText"/>
        <w:rPr>
          <w:rFonts w:ascii="Roboto" w:hAnsi="Roboto"/>
          <w:sz w:val="16"/>
          <w:szCs w:val="16"/>
        </w:rPr>
      </w:pPr>
      <w:r w:rsidRPr="001658BC">
        <w:rPr>
          <w:rStyle w:val="FootnoteReference"/>
          <w:rFonts w:ascii="Roboto" w:hAnsi="Roboto"/>
          <w:sz w:val="16"/>
          <w:szCs w:val="16"/>
        </w:rPr>
        <w:footnoteRef/>
      </w:r>
      <w:r w:rsidRPr="001658BC">
        <w:rPr>
          <w:rFonts w:ascii="Roboto" w:hAnsi="Roboto"/>
          <w:sz w:val="16"/>
          <w:szCs w:val="16"/>
        </w:rPr>
        <w:t xml:space="preserve"> </w:t>
      </w:r>
      <w:r w:rsidR="00D40314" w:rsidRPr="001658BC">
        <w:rPr>
          <w:rFonts w:ascii="Roboto" w:hAnsi="Roboto"/>
          <w:sz w:val="16"/>
          <w:szCs w:val="16"/>
        </w:rPr>
        <w:t>Green shoots of change in the Boardroom</w:t>
      </w:r>
      <w:r w:rsidR="00D40314" w:rsidRPr="00D40314">
        <w:rPr>
          <w:rFonts w:ascii="Roboto" w:hAnsi="Roboto"/>
          <w:sz w:val="16"/>
          <w:szCs w:val="16"/>
        </w:rPr>
        <w:t>: Review (2024)</w:t>
      </w:r>
    </w:p>
  </w:footnote>
  <w:footnote w:id="30">
    <w:p w14:paraId="39BD9B88" w14:textId="03C45D6D" w:rsidR="005177E3" w:rsidRPr="005177E3" w:rsidRDefault="005177E3">
      <w:pPr>
        <w:pStyle w:val="FootnoteText"/>
        <w:rPr>
          <w:rFonts w:ascii="Roboto" w:hAnsi="Roboto"/>
          <w:sz w:val="16"/>
          <w:szCs w:val="16"/>
        </w:rPr>
      </w:pPr>
      <w:r w:rsidRPr="00D40314">
        <w:rPr>
          <w:rStyle w:val="FootnoteReference"/>
          <w:rFonts w:ascii="Roboto" w:hAnsi="Roboto"/>
          <w:sz w:val="16"/>
          <w:szCs w:val="16"/>
        </w:rPr>
        <w:footnoteRef/>
      </w:r>
      <w:r w:rsidRPr="00D40314">
        <w:rPr>
          <w:rFonts w:ascii="Roboto" w:hAnsi="Roboto"/>
          <w:sz w:val="16"/>
          <w:szCs w:val="16"/>
        </w:rPr>
        <w:t xml:space="preserve"> Note: </w:t>
      </w:r>
      <w:r w:rsidRPr="00D40314">
        <w:rPr>
          <w:rFonts w:ascii="Roboto" w:hAnsi="Roboto" w:cs="Times New Roman"/>
          <w:sz w:val="16"/>
          <w:szCs w:val="16"/>
        </w:rPr>
        <w:t>The NSW Parliament voluntarily complies</w:t>
      </w:r>
      <w:r w:rsidRPr="005177E3">
        <w:rPr>
          <w:rFonts w:ascii="Roboto" w:hAnsi="Roboto" w:cs="Times New Roman"/>
          <w:sz w:val="16"/>
          <w:szCs w:val="16"/>
        </w:rPr>
        <w:t xml:space="preserve"> with the relevant legislation and policy to inform a best practice approach.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1E7"/>
    <w:multiLevelType w:val="hybridMultilevel"/>
    <w:tmpl w:val="B63A7258"/>
    <w:lvl w:ilvl="0" w:tplc="926260C4">
      <w:numFmt w:val="bullet"/>
      <w:lvlText w:val="-"/>
      <w:lvlJc w:val="left"/>
      <w:pPr>
        <w:ind w:left="720" w:hanging="360"/>
      </w:pPr>
      <w:rPr>
        <w:rFonts w:ascii="Roboto" w:eastAsiaTheme="minorHAnsi" w:hAnsi="Robo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E4FE1"/>
    <w:multiLevelType w:val="hybridMultilevel"/>
    <w:tmpl w:val="7726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F3F4E"/>
    <w:multiLevelType w:val="hybridMultilevel"/>
    <w:tmpl w:val="BCE40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714B44"/>
    <w:multiLevelType w:val="hybridMultilevel"/>
    <w:tmpl w:val="756642FA"/>
    <w:lvl w:ilvl="0" w:tplc="0C4E4D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4B446D"/>
    <w:multiLevelType w:val="hybridMultilevel"/>
    <w:tmpl w:val="868E892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52126129">
    <w:abstractNumId w:val="3"/>
  </w:num>
  <w:num w:numId="2" w16cid:durableId="1177234214">
    <w:abstractNumId w:val="2"/>
  </w:num>
  <w:num w:numId="3" w16cid:durableId="770394435">
    <w:abstractNumId w:val="0"/>
  </w:num>
  <w:num w:numId="4" w16cid:durableId="1731074945">
    <w:abstractNumId w:val="4"/>
  </w:num>
  <w:num w:numId="5" w16cid:durableId="74863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0F"/>
    <w:rsid w:val="000077F7"/>
    <w:rsid w:val="00010983"/>
    <w:rsid w:val="00013B24"/>
    <w:rsid w:val="00021494"/>
    <w:rsid w:val="00022751"/>
    <w:rsid w:val="00030798"/>
    <w:rsid w:val="00031FDD"/>
    <w:rsid w:val="0003347D"/>
    <w:rsid w:val="0003729C"/>
    <w:rsid w:val="000509D1"/>
    <w:rsid w:val="00060652"/>
    <w:rsid w:val="0006548D"/>
    <w:rsid w:val="00071C3D"/>
    <w:rsid w:val="00072203"/>
    <w:rsid w:val="00077CBD"/>
    <w:rsid w:val="00083DA2"/>
    <w:rsid w:val="00085A1E"/>
    <w:rsid w:val="00086704"/>
    <w:rsid w:val="00093E74"/>
    <w:rsid w:val="000A1671"/>
    <w:rsid w:val="000A6344"/>
    <w:rsid w:val="000A76D2"/>
    <w:rsid w:val="000B113E"/>
    <w:rsid w:val="000C40AC"/>
    <w:rsid w:val="000C4AE2"/>
    <w:rsid w:val="000C6BC8"/>
    <w:rsid w:val="000D6D1A"/>
    <w:rsid w:val="000E0035"/>
    <w:rsid w:val="000E0E6C"/>
    <w:rsid w:val="000E0F1D"/>
    <w:rsid w:val="000E4978"/>
    <w:rsid w:val="000E7366"/>
    <w:rsid w:val="000F07AA"/>
    <w:rsid w:val="000F1958"/>
    <w:rsid w:val="000F3827"/>
    <w:rsid w:val="000F558A"/>
    <w:rsid w:val="000F7355"/>
    <w:rsid w:val="00102600"/>
    <w:rsid w:val="00113407"/>
    <w:rsid w:val="001217DC"/>
    <w:rsid w:val="001231E3"/>
    <w:rsid w:val="0012537F"/>
    <w:rsid w:val="00130471"/>
    <w:rsid w:val="00136DD7"/>
    <w:rsid w:val="0013771B"/>
    <w:rsid w:val="001377C2"/>
    <w:rsid w:val="00146B62"/>
    <w:rsid w:val="00147EA5"/>
    <w:rsid w:val="001530D0"/>
    <w:rsid w:val="001533B9"/>
    <w:rsid w:val="0015486D"/>
    <w:rsid w:val="00155EA8"/>
    <w:rsid w:val="00157C3E"/>
    <w:rsid w:val="001603F7"/>
    <w:rsid w:val="00162E05"/>
    <w:rsid w:val="00163A48"/>
    <w:rsid w:val="001658BC"/>
    <w:rsid w:val="00167396"/>
    <w:rsid w:val="00171FC4"/>
    <w:rsid w:val="0017357C"/>
    <w:rsid w:val="001775E1"/>
    <w:rsid w:val="001810F6"/>
    <w:rsid w:val="0018529D"/>
    <w:rsid w:val="00192B13"/>
    <w:rsid w:val="0019423C"/>
    <w:rsid w:val="0019679A"/>
    <w:rsid w:val="001A0B49"/>
    <w:rsid w:val="001A10C2"/>
    <w:rsid w:val="001A1ABF"/>
    <w:rsid w:val="001A4C49"/>
    <w:rsid w:val="001A7749"/>
    <w:rsid w:val="001B2F9E"/>
    <w:rsid w:val="001B64E9"/>
    <w:rsid w:val="001D09D0"/>
    <w:rsid w:val="001E1E7F"/>
    <w:rsid w:val="001E6530"/>
    <w:rsid w:val="001F0488"/>
    <w:rsid w:val="001F1058"/>
    <w:rsid w:val="001F7772"/>
    <w:rsid w:val="00204ED8"/>
    <w:rsid w:val="00205A54"/>
    <w:rsid w:val="002071D8"/>
    <w:rsid w:val="0020771B"/>
    <w:rsid w:val="00211E09"/>
    <w:rsid w:val="00217D0B"/>
    <w:rsid w:val="002203A9"/>
    <w:rsid w:val="002209D3"/>
    <w:rsid w:val="00221753"/>
    <w:rsid w:val="0022778E"/>
    <w:rsid w:val="00227A80"/>
    <w:rsid w:val="00227A98"/>
    <w:rsid w:val="00233A96"/>
    <w:rsid w:val="00243D05"/>
    <w:rsid w:val="002448E2"/>
    <w:rsid w:val="00245318"/>
    <w:rsid w:val="00260EB7"/>
    <w:rsid w:val="002628F4"/>
    <w:rsid w:val="00262EB7"/>
    <w:rsid w:val="002655D2"/>
    <w:rsid w:val="002658AC"/>
    <w:rsid w:val="00271061"/>
    <w:rsid w:val="00272BE1"/>
    <w:rsid w:val="00276FEB"/>
    <w:rsid w:val="00294B87"/>
    <w:rsid w:val="00295ED1"/>
    <w:rsid w:val="002A4402"/>
    <w:rsid w:val="002A4532"/>
    <w:rsid w:val="002A6626"/>
    <w:rsid w:val="002C1EB5"/>
    <w:rsid w:val="002C1ED7"/>
    <w:rsid w:val="002C3A96"/>
    <w:rsid w:val="002C5B64"/>
    <w:rsid w:val="002D1FCF"/>
    <w:rsid w:val="002D207A"/>
    <w:rsid w:val="002F2BED"/>
    <w:rsid w:val="002F542B"/>
    <w:rsid w:val="00303D46"/>
    <w:rsid w:val="003153B8"/>
    <w:rsid w:val="00317F24"/>
    <w:rsid w:val="00321C31"/>
    <w:rsid w:val="00326D8D"/>
    <w:rsid w:val="003332B4"/>
    <w:rsid w:val="003429F3"/>
    <w:rsid w:val="00342B33"/>
    <w:rsid w:val="00343EE9"/>
    <w:rsid w:val="003460E7"/>
    <w:rsid w:val="00351E9B"/>
    <w:rsid w:val="003542B8"/>
    <w:rsid w:val="0036753E"/>
    <w:rsid w:val="0037158F"/>
    <w:rsid w:val="00396B73"/>
    <w:rsid w:val="003979A1"/>
    <w:rsid w:val="003A199C"/>
    <w:rsid w:val="003A5CA5"/>
    <w:rsid w:val="003A64FB"/>
    <w:rsid w:val="003A6E14"/>
    <w:rsid w:val="003B42D4"/>
    <w:rsid w:val="003B6DC3"/>
    <w:rsid w:val="003C0211"/>
    <w:rsid w:val="003C2711"/>
    <w:rsid w:val="003C3DC8"/>
    <w:rsid w:val="003C47D9"/>
    <w:rsid w:val="003D197E"/>
    <w:rsid w:val="003D5BF0"/>
    <w:rsid w:val="003E47E5"/>
    <w:rsid w:val="003E4F6E"/>
    <w:rsid w:val="003F2448"/>
    <w:rsid w:val="00400516"/>
    <w:rsid w:val="00402011"/>
    <w:rsid w:val="00402E47"/>
    <w:rsid w:val="004113FB"/>
    <w:rsid w:val="00412C54"/>
    <w:rsid w:val="004225B0"/>
    <w:rsid w:val="004260B0"/>
    <w:rsid w:val="00431735"/>
    <w:rsid w:val="00435E5A"/>
    <w:rsid w:val="00443960"/>
    <w:rsid w:val="004444D1"/>
    <w:rsid w:val="004557F2"/>
    <w:rsid w:val="00456254"/>
    <w:rsid w:val="00460485"/>
    <w:rsid w:val="00477E9D"/>
    <w:rsid w:val="00480C9E"/>
    <w:rsid w:val="004901D4"/>
    <w:rsid w:val="004A4653"/>
    <w:rsid w:val="004A573F"/>
    <w:rsid w:val="004A6D3D"/>
    <w:rsid w:val="004B02C0"/>
    <w:rsid w:val="004B5DD1"/>
    <w:rsid w:val="004C018F"/>
    <w:rsid w:val="004C3071"/>
    <w:rsid w:val="004C4901"/>
    <w:rsid w:val="004C5605"/>
    <w:rsid w:val="004C56C6"/>
    <w:rsid w:val="004D209D"/>
    <w:rsid w:val="004D2E07"/>
    <w:rsid w:val="004D3CAC"/>
    <w:rsid w:val="004E0BF3"/>
    <w:rsid w:val="004F5C03"/>
    <w:rsid w:val="00501BCB"/>
    <w:rsid w:val="00505CF0"/>
    <w:rsid w:val="0051232B"/>
    <w:rsid w:val="00515C71"/>
    <w:rsid w:val="005177E3"/>
    <w:rsid w:val="00521C78"/>
    <w:rsid w:val="0052355A"/>
    <w:rsid w:val="005254D0"/>
    <w:rsid w:val="00525BAA"/>
    <w:rsid w:val="005264AC"/>
    <w:rsid w:val="00532E1B"/>
    <w:rsid w:val="005360B2"/>
    <w:rsid w:val="00537C6D"/>
    <w:rsid w:val="00540BF8"/>
    <w:rsid w:val="00552BD7"/>
    <w:rsid w:val="00554D4B"/>
    <w:rsid w:val="00555DA9"/>
    <w:rsid w:val="0056539B"/>
    <w:rsid w:val="0057655E"/>
    <w:rsid w:val="00576AC0"/>
    <w:rsid w:val="00581CD3"/>
    <w:rsid w:val="00582B83"/>
    <w:rsid w:val="005922D8"/>
    <w:rsid w:val="005A17B7"/>
    <w:rsid w:val="005A195A"/>
    <w:rsid w:val="005A19DC"/>
    <w:rsid w:val="005A212B"/>
    <w:rsid w:val="005A34F2"/>
    <w:rsid w:val="005A6A52"/>
    <w:rsid w:val="005A7B0C"/>
    <w:rsid w:val="005B3044"/>
    <w:rsid w:val="005C6CBC"/>
    <w:rsid w:val="005C7508"/>
    <w:rsid w:val="005D150B"/>
    <w:rsid w:val="005D7980"/>
    <w:rsid w:val="005D7BED"/>
    <w:rsid w:val="005E1FFD"/>
    <w:rsid w:val="005E7D21"/>
    <w:rsid w:val="005F01D8"/>
    <w:rsid w:val="005F2C33"/>
    <w:rsid w:val="005F2F01"/>
    <w:rsid w:val="005F3221"/>
    <w:rsid w:val="005F3545"/>
    <w:rsid w:val="005F4F6C"/>
    <w:rsid w:val="006054E6"/>
    <w:rsid w:val="00607BCB"/>
    <w:rsid w:val="006138A5"/>
    <w:rsid w:val="00616A37"/>
    <w:rsid w:val="00620077"/>
    <w:rsid w:val="006211E7"/>
    <w:rsid w:val="00626F1C"/>
    <w:rsid w:val="00627533"/>
    <w:rsid w:val="00632AEA"/>
    <w:rsid w:val="00641C91"/>
    <w:rsid w:val="00642948"/>
    <w:rsid w:val="00643D99"/>
    <w:rsid w:val="00645FF5"/>
    <w:rsid w:val="00652A10"/>
    <w:rsid w:val="00653C1D"/>
    <w:rsid w:val="00664637"/>
    <w:rsid w:val="006646B0"/>
    <w:rsid w:val="00664C36"/>
    <w:rsid w:val="00671BB0"/>
    <w:rsid w:val="006756B2"/>
    <w:rsid w:val="00681F6B"/>
    <w:rsid w:val="006875B6"/>
    <w:rsid w:val="0069166B"/>
    <w:rsid w:val="00697FF3"/>
    <w:rsid w:val="006A6B4B"/>
    <w:rsid w:val="006B45D9"/>
    <w:rsid w:val="006B6B7C"/>
    <w:rsid w:val="006C14AE"/>
    <w:rsid w:val="006C32E5"/>
    <w:rsid w:val="006C3DA5"/>
    <w:rsid w:val="006D2328"/>
    <w:rsid w:val="006D2794"/>
    <w:rsid w:val="006D5F45"/>
    <w:rsid w:val="006D6794"/>
    <w:rsid w:val="006E30E7"/>
    <w:rsid w:val="006F10D3"/>
    <w:rsid w:val="006F4C5F"/>
    <w:rsid w:val="0070031A"/>
    <w:rsid w:val="0070173E"/>
    <w:rsid w:val="0070400F"/>
    <w:rsid w:val="00712557"/>
    <w:rsid w:val="00713DB6"/>
    <w:rsid w:val="007218AA"/>
    <w:rsid w:val="00721B51"/>
    <w:rsid w:val="007231F6"/>
    <w:rsid w:val="0072427E"/>
    <w:rsid w:val="00726DB5"/>
    <w:rsid w:val="007323C6"/>
    <w:rsid w:val="007325E8"/>
    <w:rsid w:val="00733F91"/>
    <w:rsid w:val="00734CD3"/>
    <w:rsid w:val="007433AC"/>
    <w:rsid w:val="00743F4E"/>
    <w:rsid w:val="007478FE"/>
    <w:rsid w:val="00754CBD"/>
    <w:rsid w:val="00754F74"/>
    <w:rsid w:val="00756A97"/>
    <w:rsid w:val="007613C5"/>
    <w:rsid w:val="00764EA9"/>
    <w:rsid w:val="0077356D"/>
    <w:rsid w:val="00774EB2"/>
    <w:rsid w:val="0078105B"/>
    <w:rsid w:val="00781741"/>
    <w:rsid w:val="00782AF6"/>
    <w:rsid w:val="00785722"/>
    <w:rsid w:val="007867E1"/>
    <w:rsid w:val="00790261"/>
    <w:rsid w:val="00791DD0"/>
    <w:rsid w:val="0079402E"/>
    <w:rsid w:val="00794521"/>
    <w:rsid w:val="007A047F"/>
    <w:rsid w:val="007A60D9"/>
    <w:rsid w:val="007A67C9"/>
    <w:rsid w:val="007A70C3"/>
    <w:rsid w:val="007B38E7"/>
    <w:rsid w:val="007D0FD3"/>
    <w:rsid w:val="007D7AD1"/>
    <w:rsid w:val="007E15BB"/>
    <w:rsid w:val="007E2DE2"/>
    <w:rsid w:val="007E6D8A"/>
    <w:rsid w:val="008024A1"/>
    <w:rsid w:val="00805E57"/>
    <w:rsid w:val="008132E5"/>
    <w:rsid w:val="00813EBF"/>
    <w:rsid w:val="00815F6F"/>
    <w:rsid w:val="00817E78"/>
    <w:rsid w:val="00821EA8"/>
    <w:rsid w:val="00822FFE"/>
    <w:rsid w:val="008237FD"/>
    <w:rsid w:val="00823B6F"/>
    <w:rsid w:val="00825CAB"/>
    <w:rsid w:val="00830EC1"/>
    <w:rsid w:val="008343BE"/>
    <w:rsid w:val="00836537"/>
    <w:rsid w:val="00836B2B"/>
    <w:rsid w:val="00837694"/>
    <w:rsid w:val="00852F9D"/>
    <w:rsid w:val="00855C1B"/>
    <w:rsid w:val="008575B7"/>
    <w:rsid w:val="008647E1"/>
    <w:rsid w:val="0086699C"/>
    <w:rsid w:val="0087303A"/>
    <w:rsid w:val="008735C1"/>
    <w:rsid w:val="00874C19"/>
    <w:rsid w:val="00883C4B"/>
    <w:rsid w:val="00887480"/>
    <w:rsid w:val="008A4535"/>
    <w:rsid w:val="008B0B65"/>
    <w:rsid w:val="008B2923"/>
    <w:rsid w:val="008B5283"/>
    <w:rsid w:val="008C3F65"/>
    <w:rsid w:val="008C5EB7"/>
    <w:rsid w:val="008D1849"/>
    <w:rsid w:val="008E6E00"/>
    <w:rsid w:val="008F2AA3"/>
    <w:rsid w:val="008F2EB7"/>
    <w:rsid w:val="008F4864"/>
    <w:rsid w:val="00904C7A"/>
    <w:rsid w:val="00906C2D"/>
    <w:rsid w:val="009076DC"/>
    <w:rsid w:val="009152D5"/>
    <w:rsid w:val="0092205D"/>
    <w:rsid w:val="00923820"/>
    <w:rsid w:val="00931233"/>
    <w:rsid w:val="0093255A"/>
    <w:rsid w:val="00935110"/>
    <w:rsid w:val="00935F2F"/>
    <w:rsid w:val="00950E87"/>
    <w:rsid w:val="00952C57"/>
    <w:rsid w:val="00957887"/>
    <w:rsid w:val="00962FA6"/>
    <w:rsid w:val="00965CC6"/>
    <w:rsid w:val="00966D96"/>
    <w:rsid w:val="009676F2"/>
    <w:rsid w:val="00970371"/>
    <w:rsid w:val="00970B0A"/>
    <w:rsid w:val="00970FD7"/>
    <w:rsid w:val="009710D2"/>
    <w:rsid w:val="0097218D"/>
    <w:rsid w:val="0097348B"/>
    <w:rsid w:val="00973C2A"/>
    <w:rsid w:val="00974E7A"/>
    <w:rsid w:val="009773A5"/>
    <w:rsid w:val="009813E2"/>
    <w:rsid w:val="00982693"/>
    <w:rsid w:val="009935A3"/>
    <w:rsid w:val="00996398"/>
    <w:rsid w:val="009A77EE"/>
    <w:rsid w:val="009B0765"/>
    <w:rsid w:val="009B3C82"/>
    <w:rsid w:val="009C1464"/>
    <w:rsid w:val="009C30EF"/>
    <w:rsid w:val="009D3071"/>
    <w:rsid w:val="009F26E5"/>
    <w:rsid w:val="009F5BCE"/>
    <w:rsid w:val="00A02716"/>
    <w:rsid w:val="00A03C3C"/>
    <w:rsid w:val="00A14102"/>
    <w:rsid w:val="00A22F7E"/>
    <w:rsid w:val="00A24EC7"/>
    <w:rsid w:val="00A257CA"/>
    <w:rsid w:val="00A40F08"/>
    <w:rsid w:val="00A4292D"/>
    <w:rsid w:val="00A47022"/>
    <w:rsid w:val="00A52324"/>
    <w:rsid w:val="00A53291"/>
    <w:rsid w:val="00A53EE7"/>
    <w:rsid w:val="00A61D79"/>
    <w:rsid w:val="00A6502C"/>
    <w:rsid w:val="00A76F42"/>
    <w:rsid w:val="00A854BD"/>
    <w:rsid w:val="00A859D0"/>
    <w:rsid w:val="00A87A74"/>
    <w:rsid w:val="00AA5B7B"/>
    <w:rsid w:val="00AA5EA9"/>
    <w:rsid w:val="00AB67E4"/>
    <w:rsid w:val="00AB6897"/>
    <w:rsid w:val="00AB7E7D"/>
    <w:rsid w:val="00AC4626"/>
    <w:rsid w:val="00AC55B7"/>
    <w:rsid w:val="00AC640B"/>
    <w:rsid w:val="00AD06B3"/>
    <w:rsid w:val="00AD63EE"/>
    <w:rsid w:val="00AE1682"/>
    <w:rsid w:val="00AE6361"/>
    <w:rsid w:val="00AE64DA"/>
    <w:rsid w:val="00AF4B3B"/>
    <w:rsid w:val="00AF67E3"/>
    <w:rsid w:val="00B05B38"/>
    <w:rsid w:val="00B133F0"/>
    <w:rsid w:val="00B13783"/>
    <w:rsid w:val="00B209B0"/>
    <w:rsid w:val="00B26D72"/>
    <w:rsid w:val="00B306F2"/>
    <w:rsid w:val="00B4465E"/>
    <w:rsid w:val="00B4698F"/>
    <w:rsid w:val="00B50AC9"/>
    <w:rsid w:val="00B5584F"/>
    <w:rsid w:val="00B57D5E"/>
    <w:rsid w:val="00B66B47"/>
    <w:rsid w:val="00B67504"/>
    <w:rsid w:val="00B739A0"/>
    <w:rsid w:val="00B763B6"/>
    <w:rsid w:val="00B838E2"/>
    <w:rsid w:val="00B83E29"/>
    <w:rsid w:val="00B8553F"/>
    <w:rsid w:val="00B91B1A"/>
    <w:rsid w:val="00B92312"/>
    <w:rsid w:val="00B92CF7"/>
    <w:rsid w:val="00B94131"/>
    <w:rsid w:val="00B94B4A"/>
    <w:rsid w:val="00B967CC"/>
    <w:rsid w:val="00BA5077"/>
    <w:rsid w:val="00BB1D4B"/>
    <w:rsid w:val="00BB3356"/>
    <w:rsid w:val="00BB7104"/>
    <w:rsid w:val="00BB737D"/>
    <w:rsid w:val="00BC7DB1"/>
    <w:rsid w:val="00BD3F6B"/>
    <w:rsid w:val="00BD7B0C"/>
    <w:rsid w:val="00BE0518"/>
    <w:rsid w:val="00BE0553"/>
    <w:rsid w:val="00BE1D1C"/>
    <w:rsid w:val="00BF77E4"/>
    <w:rsid w:val="00C042D9"/>
    <w:rsid w:val="00C10944"/>
    <w:rsid w:val="00C20849"/>
    <w:rsid w:val="00C31863"/>
    <w:rsid w:val="00C348EF"/>
    <w:rsid w:val="00C350E8"/>
    <w:rsid w:val="00C35B5F"/>
    <w:rsid w:val="00C46688"/>
    <w:rsid w:val="00C55437"/>
    <w:rsid w:val="00C56C30"/>
    <w:rsid w:val="00C6064A"/>
    <w:rsid w:val="00C624A1"/>
    <w:rsid w:val="00C673E0"/>
    <w:rsid w:val="00C754AC"/>
    <w:rsid w:val="00C80BE3"/>
    <w:rsid w:val="00C86C64"/>
    <w:rsid w:val="00C87AE9"/>
    <w:rsid w:val="00CA41A9"/>
    <w:rsid w:val="00CA549C"/>
    <w:rsid w:val="00CB0EA7"/>
    <w:rsid w:val="00CB2BFD"/>
    <w:rsid w:val="00CB7B3F"/>
    <w:rsid w:val="00CC0312"/>
    <w:rsid w:val="00CC15A4"/>
    <w:rsid w:val="00CC7D17"/>
    <w:rsid w:val="00CD0250"/>
    <w:rsid w:val="00CD42B5"/>
    <w:rsid w:val="00CD4D47"/>
    <w:rsid w:val="00CD6E9E"/>
    <w:rsid w:val="00CE056C"/>
    <w:rsid w:val="00CE10B2"/>
    <w:rsid w:val="00CE42AB"/>
    <w:rsid w:val="00CE51A5"/>
    <w:rsid w:val="00CF08A8"/>
    <w:rsid w:val="00CF7117"/>
    <w:rsid w:val="00D0290C"/>
    <w:rsid w:val="00D1163A"/>
    <w:rsid w:val="00D121D1"/>
    <w:rsid w:val="00D14EF4"/>
    <w:rsid w:val="00D17BE8"/>
    <w:rsid w:val="00D21E5C"/>
    <w:rsid w:val="00D27F86"/>
    <w:rsid w:val="00D40314"/>
    <w:rsid w:val="00D55377"/>
    <w:rsid w:val="00D56496"/>
    <w:rsid w:val="00D62475"/>
    <w:rsid w:val="00D6653F"/>
    <w:rsid w:val="00D7129F"/>
    <w:rsid w:val="00D72E39"/>
    <w:rsid w:val="00D75A6E"/>
    <w:rsid w:val="00D87CC5"/>
    <w:rsid w:val="00D911E6"/>
    <w:rsid w:val="00D91C97"/>
    <w:rsid w:val="00D96380"/>
    <w:rsid w:val="00DB0401"/>
    <w:rsid w:val="00DB0C7E"/>
    <w:rsid w:val="00DB236A"/>
    <w:rsid w:val="00DB48D8"/>
    <w:rsid w:val="00DC2610"/>
    <w:rsid w:val="00DC7C4B"/>
    <w:rsid w:val="00DD0056"/>
    <w:rsid w:val="00DD133D"/>
    <w:rsid w:val="00DD5532"/>
    <w:rsid w:val="00DD620F"/>
    <w:rsid w:val="00DD6A4D"/>
    <w:rsid w:val="00DE65A7"/>
    <w:rsid w:val="00E00CE7"/>
    <w:rsid w:val="00E02E7E"/>
    <w:rsid w:val="00E047B5"/>
    <w:rsid w:val="00E04AD7"/>
    <w:rsid w:val="00E05A58"/>
    <w:rsid w:val="00E06CBA"/>
    <w:rsid w:val="00E13550"/>
    <w:rsid w:val="00E13735"/>
    <w:rsid w:val="00E24390"/>
    <w:rsid w:val="00E247A1"/>
    <w:rsid w:val="00E25E3A"/>
    <w:rsid w:val="00E30140"/>
    <w:rsid w:val="00E3400D"/>
    <w:rsid w:val="00E34401"/>
    <w:rsid w:val="00E50FCB"/>
    <w:rsid w:val="00E52A32"/>
    <w:rsid w:val="00E536A4"/>
    <w:rsid w:val="00E70BD4"/>
    <w:rsid w:val="00E7373C"/>
    <w:rsid w:val="00E73E7F"/>
    <w:rsid w:val="00E73EFE"/>
    <w:rsid w:val="00E76EBE"/>
    <w:rsid w:val="00E80EB2"/>
    <w:rsid w:val="00E81A0A"/>
    <w:rsid w:val="00E83430"/>
    <w:rsid w:val="00E84C67"/>
    <w:rsid w:val="00E86E6F"/>
    <w:rsid w:val="00E95C4F"/>
    <w:rsid w:val="00EA3497"/>
    <w:rsid w:val="00EA516D"/>
    <w:rsid w:val="00EA6C0E"/>
    <w:rsid w:val="00EA7C0B"/>
    <w:rsid w:val="00EB001B"/>
    <w:rsid w:val="00EB212B"/>
    <w:rsid w:val="00EC06C2"/>
    <w:rsid w:val="00EC1B4E"/>
    <w:rsid w:val="00ED17B1"/>
    <w:rsid w:val="00ED20E2"/>
    <w:rsid w:val="00ED587A"/>
    <w:rsid w:val="00ED7810"/>
    <w:rsid w:val="00EF132F"/>
    <w:rsid w:val="00F10151"/>
    <w:rsid w:val="00F21021"/>
    <w:rsid w:val="00F22B4A"/>
    <w:rsid w:val="00F2557D"/>
    <w:rsid w:val="00F304AE"/>
    <w:rsid w:val="00F31378"/>
    <w:rsid w:val="00F34D6A"/>
    <w:rsid w:val="00F40CAC"/>
    <w:rsid w:val="00F61322"/>
    <w:rsid w:val="00F63C5C"/>
    <w:rsid w:val="00F73C12"/>
    <w:rsid w:val="00F83FE9"/>
    <w:rsid w:val="00F873AC"/>
    <w:rsid w:val="00F900C8"/>
    <w:rsid w:val="00F91410"/>
    <w:rsid w:val="00F94DDA"/>
    <w:rsid w:val="00F96D78"/>
    <w:rsid w:val="00F9703A"/>
    <w:rsid w:val="00F970FB"/>
    <w:rsid w:val="00FA0D1D"/>
    <w:rsid w:val="00FA2325"/>
    <w:rsid w:val="00FB39F1"/>
    <w:rsid w:val="00FB7DBB"/>
    <w:rsid w:val="00FC36D7"/>
    <w:rsid w:val="00FC3AE9"/>
    <w:rsid w:val="00FD02A5"/>
    <w:rsid w:val="00FE18E8"/>
    <w:rsid w:val="00FE1E1D"/>
    <w:rsid w:val="00FF1F30"/>
    <w:rsid w:val="00FF7557"/>
    <w:rsid w:val="00FF79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D954"/>
  <w15:chartTrackingRefBased/>
  <w15:docId w15:val="{6F7FA65C-E3FF-421A-980C-A79FDF93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401"/>
  </w:style>
  <w:style w:type="paragraph" w:styleId="Heading1">
    <w:name w:val="heading 1"/>
    <w:basedOn w:val="Normal"/>
    <w:link w:val="Heading1Char"/>
    <w:uiPriority w:val="9"/>
    <w:qFormat/>
    <w:rsid w:val="001658BC"/>
    <w:pPr>
      <w:spacing w:before="100" w:beforeAutospacing="1" w:after="100" w:afterAutospacing="1"/>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next w:val="Normal"/>
    <w:link w:val="Heading2Char"/>
    <w:uiPriority w:val="9"/>
    <w:unhideWhenUsed/>
    <w:qFormat/>
    <w:rsid w:val="0037158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EA7"/>
    <w:pPr>
      <w:ind w:left="720"/>
      <w:contextualSpacing/>
    </w:pPr>
  </w:style>
  <w:style w:type="paragraph" w:styleId="FootnoteText">
    <w:name w:val="footnote text"/>
    <w:basedOn w:val="Normal"/>
    <w:link w:val="FootnoteTextChar"/>
    <w:uiPriority w:val="99"/>
    <w:semiHidden/>
    <w:unhideWhenUsed/>
    <w:rsid w:val="00D96380"/>
    <w:rPr>
      <w:sz w:val="20"/>
      <w:szCs w:val="20"/>
    </w:rPr>
  </w:style>
  <w:style w:type="character" w:customStyle="1" w:styleId="FootnoteTextChar">
    <w:name w:val="Footnote Text Char"/>
    <w:basedOn w:val="DefaultParagraphFont"/>
    <w:link w:val="FootnoteText"/>
    <w:uiPriority w:val="99"/>
    <w:semiHidden/>
    <w:rsid w:val="00D96380"/>
    <w:rPr>
      <w:sz w:val="20"/>
      <w:szCs w:val="20"/>
    </w:rPr>
  </w:style>
  <w:style w:type="character" w:styleId="FootnoteReference">
    <w:name w:val="footnote reference"/>
    <w:basedOn w:val="DefaultParagraphFont"/>
    <w:uiPriority w:val="99"/>
    <w:semiHidden/>
    <w:unhideWhenUsed/>
    <w:rsid w:val="00D96380"/>
    <w:rPr>
      <w:vertAlign w:val="superscript"/>
    </w:rPr>
  </w:style>
  <w:style w:type="character" w:styleId="Emphasis">
    <w:name w:val="Emphasis"/>
    <w:basedOn w:val="DefaultParagraphFont"/>
    <w:uiPriority w:val="20"/>
    <w:qFormat/>
    <w:rsid w:val="00D96380"/>
    <w:rPr>
      <w:i/>
      <w:iCs/>
    </w:rPr>
  </w:style>
  <w:style w:type="paragraph" w:styleId="NormalWeb">
    <w:name w:val="Normal (Web)"/>
    <w:basedOn w:val="Normal"/>
    <w:uiPriority w:val="99"/>
    <w:unhideWhenUsed/>
    <w:rsid w:val="0006548D"/>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B94131"/>
    <w:rPr>
      <w:b/>
      <w:bCs/>
    </w:rPr>
  </w:style>
  <w:style w:type="character" w:styleId="Hyperlink">
    <w:name w:val="Hyperlink"/>
    <w:basedOn w:val="DefaultParagraphFont"/>
    <w:uiPriority w:val="99"/>
    <w:semiHidden/>
    <w:unhideWhenUsed/>
    <w:rsid w:val="00077CBD"/>
    <w:rPr>
      <w:color w:val="0000FF"/>
      <w:u w:val="single"/>
    </w:rPr>
  </w:style>
  <w:style w:type="paragraph" w:styleId="Revision">
    <w:name w:val="Revision"/>
    <w:hidden/>
    <w:uiPriority w:val="99"/>
    <w:semiHidden/>
    <w:rsid w:val="00F10151"/>
  </w:style>
  <w:style w:type="character" w:styleId="CommentReference">
    <w:name w:val="annotation reference"/>
    <w:basedOn w:val="DefaultParagraphFont"/>
    <w:uiPriority w:val="99"/>
    <w:semiHidden/>
    <w:unhideWhenUsed/>
    <w:rsid w:val="00F10151"/>
    <w:rPr>
      <w:sz w:val="16"/>
      <w:szCs w:val="16"/>
    </w:rPr>
  </w:style>
  <w:style w:type="paragraph" w:styleId="CommentText">
    <w:name w:val="annotation text"/>
    <w:basedOn w:val="Normal"/>
    <w:link w:val="CommentTextChar"/>
    <w:uiPriority w:val="99"/>
    <w:unhideWhenUsed/>
    <w:rsid w:val="00F10151"/>
    <w:rPr>
      <w:sz w:val="20"/>
      <w:szCs w:val="20"/>
    </w:rPr>
  </w:style>
  <w:style w:type="character" w:customStyle="1" w:styleId="CommentTextChar">
    <w:name w:val="Comment Text Char"/>
    <w:basedOn w:val="DefaultParagraphFont"/>
    <w:link w:val="CommentText"/>
    <w:uiPriority w:val="99"/>
    <w:rsid w:val="00F10151"/>
    <w:rPr>
      <w:sz w:val="20"/>
      <w:szCs w:val="20"/>
    </w:rPr>
  </w:style>
  <w:style w:type="paragraph" w:styleId="CommentSubject">
    <w:name w:val="annotation subject"/>
    <w:basedOn w:val="CommentText"/>
    <w:next w:val="CommentText"/>
    <w:link w:val="CommentSubjectChar"/>
    <w:uiPriority w:val="99"/>
    <w:semiHidden/>
    <w:unhideWhenUsed/>
    <w:rsid w:val="00F10151"/>
    <w:rPr>
      <w:b/>
      <w:bCs/>
    </w:rPr>
  </w:style>
  <w:style w:type="character" w:customStyle="1" w:styleId="CommentSubjectChar">
    <w:name w:val="Comment Subject Char"/>
    <w:basedOn w:val="CommentTextChar"/>
    <w:link w:val="CommentSubject"/>
    <w:uiPriority w:val="99"/>
    <w:semiHidden/>
    <w:rsid w:val="00F10151"/>
    <w:rPr>
      <w:b/>
      <w:bCs/>
      <w:sz w:val="20"/>
      <w:szCs w:val="20"/>
    </w:rPr>
  </w:style>
  <w:style w:type="character" w:customStyle="1" w:styleId="cf01">
    <w:name w:val="cf01"/>
    <w:basedOn w:val="DefaultParagraphFont"/>
    <w:rsid w:val="00060652"/>
    <w:rPr>
      <w:rFonts w:ascii="Segoe UI" w:hAnsi="Segoe UI" w:cs="Segoe UI" w:hint="default"/>
      <w:sz w:val="18"/>
      <w:szCs w:val="18"/>
    </w:rPr>
  </w:style>
  <w:style w:type="character" w:customStyle="1" w:styleId="Heading1Char">
    <w:name w:val="Heading 1 Char"/>
    <w:basedOn w:val="DefaultParagraphFont"/>
    <w:link w:val="Heading1"/>
    <w:uiPriority w:val="9"/>
    <w:rsid w:val="001658BC"/>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3715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6349">
      <w:bodyDiv w:val="1"/>
      <w:marLeft w:val="0"/>
      <w:marRight w:val="0"/>
      <w:marTop w:val="0"/>
      <w:marBottom w:val="0"/>
      <w:divBdr>
        <w:top w:val="none" w:sz="0" w:space="0" w:color="auto"/>
        <w:left w:val="none" w:sz="0" w:space="0" w:color="auto"/>
        <w:bottom w:val="none" w:sz="0" w:space="0" w:color="auto"/>
        <w:right w:val="none" w:sz="0" w:space="0" w:color="auto"/>
      </w:divBdr>
      <w:divsChild>
        <w:div w:id="1541478279">
          <w:marLeft w:val="0"/>
          <w:marRight w:val="0"/>
          <w:marTop w:val="0"/>
          <w:marBottom w:val="0"/>
          <w:divBdr>
            <w:top w:val="none" w:sz="0" w:space="0" w:color="auto"/>
            <w:left w:val="none" w:sz="0" w:space="0" w:color="auto"/>
            <w:bottom w:val="none" w:sz="0" w:space="0" w:color="auto"/>
            <w:right w:val="none" w:sz="0" w:space="0" w:color="auto"/>
          </w:divBdr>
          <w:divsChild>
            <w:div w:id="691616604">
              <w:marLeft w:val="0"/>
              <w:marRight w:val="0"/>
              <w:marTop w:val="0"/>
              <w:marBottom w:val="0"/>
              <w:divBdr>
                <w:top w:val="none" w:sz="0" w:space="0" w:color="auto"/>
                <w:left w:val="none" w:sz="0" w:space="0" w:color="auto"/>
                <w:bottom w:val="none" w:sz="0" w:space="0" w:color="auto"/>
                <w:right w:val="none" w:sz="0" w:space="0" w:color="auto"/>
              </w:divBdr>
              <w:divsChild>
                <w:div w:id="1760174430">
                  <w:marLeft w:val="0"/>
                  <w:marRight w:val="0"/>
                  <w:marTop w:val="0"/>
                  <w:marBottom w:val="0"/>
                  <w:divBdr>
                    <w:top w:val="none" w:sz="0" w:space="0" w:color="auto"/>
                    <w:left w:val="none" w:sz="0" w:space="0" w:color="auto"/>
                    <w:bottom w:val="none" w:sz="0" w:space="0" w:color="auto"/>
                    <w:right w:val="none" w:sz="0" w:space="0" w:color="auto"/>
                  </w:divBdr>
                  <w:divsChild>
                    <w:div w:id="1174496202">
                      <w:marLeft w:val="0"/>
                      <w:marRight w:val="0"/>
                      <w:marTop w:val="0"/>
                      <w:marBottom w:val="0"/>
                      <w:divBdr>
                        <w:top w:val="none" w:sz="0" w:space="0" w:color="auto"/>
                        <w:left w:val="none" w:sz="0" w:space="0" w:color="auto"/>
                        <w:bottom w:val="none" w:sz="0" w:space="0" w:color="auto"/>
                        <w:right w:val="none" w:sz="0" w:space="0" w:color="auto"/>
                      </w:divBdr>
                      <w:divsChild>
                        <w:div w:id="1178696748">
                          <w:marLeft w:val="0"/>
                          <w:marRight w:val="0"/>
                          <w:marTop w:val="0"/>
                          <w:marBottom w:val="0"/>
                          <w:divBdr>
                            <w:top w:val="none" w:sz="0" w:space="0" w:color="auto"/>
                            <w:left w:val="none" w:sz="0" w:space="0" w:color="auto"/>
                            <w:bottom w:val="none" w:sz="0" w:space="0" w:color="auto"/>
                            <w:right w:val="none" w:sz="0" w:space="0" w:color="auto"/>
                          </w:divBdr>
                          <w:divsChild>
                            <w:div w:id="5633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530985">
      <w:bodyDiv w:val="1"/>
      <w:marLeft w:val="0"/>
      <w:marRight w:val="0"/>
      <w:marTop w:val="0"/>
      <w:marBottom w:val="0"/>
      <w:divBdr>
        <w:top w:val="none" w:sz="0" w:space="0" w:color="auto"/>
        <w:left w:val="none" w:sz="0" w:space="0" w:color="auto"/>
        <w:bottom w:val="none" w:sz="0" w:space="0" w:color="auto"/>
        <w:right w:val="none" w:sz="0" w:space="0" w:color="auto"/>
      </w:divBdr>
    </w:div>
    <w:div w:id="735475132">
      <w:bodyDiv w:val="1"/>
      <w:marLeft w:val="0"/>
      <w:marRight w:val="0"/>
      <w:marTop w:val="0"/>
      <w:marBottom w:val="0"/>
      <w:divBdr>
        <w:top w:val="none" w:sz="0" w:space="0" w:color="auto"/>
        <w:left w:val="none" w:sz="0" w:space="0" w:color="auto"/>
        <w:bottom w:val="none" w:sz="0" w:space="0" w:color="auto"/>
        <w:right w:val="none" w:sz="0" w:space="0" w:color="auto"/>
      </w:divBdr>
    </w:div>
    <w:div w:id="1160845717">
      <w:bodyDiv w:val="1"/>
      <w:marLeft w:val="0"/>
      <w:marRight w:val="0"/>
      <w:marTop w:val="0"/>
      <w:marBottom w:val="0"/>
      <w:divBdr>
        <w:top w:val="none" w:sz="0" w:space="0" w:color="auto"/>
        <w:left w:val="none" w:sz="0" w:space="0" w:color="auto"/>
        <w:bottom w:val="none" w:sz="0" w:space="0" w:color="auto"/>
        <w:right w:val="none" w:sz="0" w:space="0" w:color="auto"/>
      </w:divBdr>
    </w:div>
    <w:div w:id="13480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2504a9-9055-4d35-9af6-bf1df156c17d">
      <Terms xmlns="http://schemas.microsoft.com/office/infopath/2007/PartnerControls"/>
    </lcf76f155ced4ddcb4097134ff3c332f>
    <TaxCatchAll xmlns="a28944f1-0469-4012-b4b0-1f2b147ab447" xsi:nil="true"/>
    <_dlc_DocId xmlns="a28944f1-0469-4012-b4b0-1f2b147ab447">56JADVVYJUHE-543353319-543</_dlc_DocId>
    <_dlc_DocIdUrl xmlns="a28944f1-0469-4012-b4b0-1f2b147ab447">
      <Url>https://parlnsw.sharepoint.com/sites/GPP/_layouts/15/DocIdRedir.aspx?ID=56JADVVYJUHE-543353319-543</Url>
      <Description>56JADVVYJUHE-543353319-543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795F4130A744791EF8AB0612EE716" ma:contentTypeVersion="13" ma:contentTypeDescription="Create a new document." ma:contentTypeScope="" ma:versionID="6e8047a067b12eec95cc61adea137fe2">
  <xsd:schema xmlns:xsd="http://www.w3.org/2001/XMLSchema" xmlns:xs="http://www.w3.org/2001/XMLSchema" xmlns:p="http://schemas.microsoft.com/office/2006/metadata/properties" xmlns:ns2="a28944f1-0469-4012-b4b0-1f2b147ab447" xmlns:ns3="d32504a9-9055-4d35-9af6-bf1df156c17d" targetNamespace="http://schemas.microsoft.com/office/2006/metadata/properties" ma:root="true" ma:fieldsID="c8d55e7dc16bff2d54b8b57775bd986d" ns2:_="" ns3:_="">
    <xsd:import namespace="a28944f1-0469-4012-b4b0-1f2b147ab447"/>
    <xsd:import namespace="d32504a9-9055-4d35-9af6-bf1df156c17d"/>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44f1-0469-4012-b4b0-1f2b147ab4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aa5a6e8-d07f-4d5f-aed6-5e053873151c}" ma:internalName="TaxCatchAll" ma:showField="CatchAllData" ma:web="a28944f1-0469-4012-b4b0-1f2b147ab44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2504a9-9055-4d35-9af6-bf1df156c17d"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c8df9e-14f5-4b9a-9553-705b710dccc8"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DF62-D4EE-44EC-BD25-D14D09032F0E}">
  <ds:schemaRefs>
    <ds:schemaRef ds:uri="http://schemas.microsoft.com/office/2006/metadata/properties"/>
    <ds:schemaRef ds:uri="http://schemas.microsoft.com/office/infopath/2007/PartnerControls"/>
    <ds:schemaRef ds:uri="d32504a9-9055-4d35-9af6-bf1df156c17d"/>
    <ds:schemaRef ds:uri="a28944f1-0469-4012-b4b0-1f2b147ab447"/>
  </ds:schemaRefs>
</ds:datastoreItem>
</file>

<file path=customXml/itemProps2.xml><?xml version="1.0" encoding="utf-8"?>
<ds:datastoreItem xmlns:ds="http://schemas.openxmlformats.org/officeDocument/2006/customXml" ds:itemID="{C10F4F1C-24E7-4C09-84C0-85CA676EB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44f1-0469-4012-b4b0-1f2b147ab447"/>
    <ds:schemaRef ds:uri="d32504a9-9055-4d35-9af6-bf1df156c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E2C37-43DB-4423-B494-7700003C3E21}">
  <ds:schemaRefs>
    <ds:schemaRef ds:uri="http://schemas.microsoft.com/sharepoint/events"/>
  </ds:schemaRefs>
</ds:datastoreItem>
</file>

<file path=customXml/itemProps4.xml><?xml version="1.0" encoding="utf-8"?>
<ds:datastoreItem xmlns:ds="http://schemas.openxmlformats.org/officeDocument/2006/customXml" ds:itemID="{705E00C0-6798-4BF8-88A0-15D2D65E765D}">
  <ds:schemaRefs>
    <ds:schemaRef ds:uri="http://schemas.microsoft.com/sharepoint/v3/contenttype/forms"/>
  </ds:schemaRefs>
</ds:datastoreItem>
</file>

<file path=customXml/itemProps5.xml><?xml version="1.0" encoding="utf-8"?>
<ds:datastoreItem xmlns:ds="http://schemas.openxmlformats.org/officeDocument/2006/customXml" ds:itemID="{CD6CC9AB-1F02-4C9C-9A3F-1AD3CFF8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2391</Words>
  <Characters>13825</Characters>
  <Application>Microsoft Office Word</Application>
  <DocSecurity>0</DocSecurity>
  <Lines>337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Smalley</dc:creator>
  <cp:keywords/>
  <dc:description/>
  <cp:lastModifiedBy>Bruce Pope</cp:lastModifiedBy>
  <cp:revision>2</cp:revision>
  <dcterms:created xsi:type="dcterms:W3CDTF">2024-10-10T23:07:00Z</dcterms:created>
  <dcterms:modified xsi:type="dcterms:W3CDTF">2024-10-10T23:07:00Z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0x0101004EB795F4130A744791EF8AB0612EE716</vt:lpwstr>
  </property>
  <property fmtid="{D5CDD505-2E9C-101B-9397-08002B2CF9AE}" pid="3" name="MediaServiceImageTags">
    <vt:lpwstr/>
  </property>
  <property fmtid="{D5CDD505-2E9C-101B-9397-08002B2CF9AE}" pid="4" name="_dlc_DocIdItemGuid">
    <vt:lpwstr>d7de732b-6f68-41d9-9eb9-ea427ef3e155</vt:lpwstr>
  </property>
</Properties>
</file>